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600" w:lineRule="exact"/>
        <w:ind w:left="0" w:right="0"/>
        <w:jc w:val="both"/>
        <w:rPr>
          <w:rFonts w:hint="default" w:ascii="Times New Roman" w:hAnsi="Times New Roman" w:eastAsia="黑体" w:cs="Times New Roman"/>
          <w:sz w:val="32"/>
          <w:szCs w:val="32"/>
          <w:lang w:val="en-US"/>
        </w:rPr>
      </w:pPr>
      <w:r>
        <w:rPr>
          <w:rFonts w:hint="eastAsia" w:ascii="Times New Roman" w:hAnsi="Times New Roman" w:eastAsia="黑体" w:cs="Times New Roman"/>
          <w:kern w:val="2"/>
          <w:sz w:val="32"/>
          <w:szCs w:val="32"/>
          <w:lang w:val="en-US" w:eastAsia="zh-CN" w:bidi="ar"/>
        </w:rPr>
        <w:t>附件</w:t>
      </w:r>
      <w:r>
        <w:rPr>
          <w:rFonts w:hint="default" w:ascii="Times New Roman" w:hAnsi="Times New Roman" w:eastAsia="黑体" w:cs="Times New Roman"/>
          <w:kern w:val="2"/>
          <w:sz w:val="32"/>
          <w:szCs w:val="32"/>
          <w:lang w:val="en-US" w:eastAsia="zh-CN" w:bidi="ar"/>
        </w:rPr>
        <w:t>1</w:t>
      </w:r>
    </w:p>
    <w:p>
      <w:pPr>
        <w:keepNext w:val="0"/>
        <w:keepLines w:val="0"/>
        <w:widowControl w:val="0"/>
        <w:suppressLineNumbers w:val="0"/>
        <w:spacing w:before="0" w:beforeAutospacing="0" w:after="0" w:afterAutospacing="0" w:line="600" w:lineRule="exact"/>
        <w:ind w:left="0" w:right="0"/>
        <w:jc w:val="both"/>
        <w:rPr>
          <w:rFonts w:hint="default" w:ascii="Times New Roman" w:hAnsi="Times New Roman" w:eastAsia="方正小标宋_GBK" w:cs="Times New Roman"/>
          <w:sz w:val="44"/>
          <w:szCs w:val="44"/>
          <w:lang w:val="en-US"/>
        </w:rPr>
      </w:pPr>
    </w:p>
    <w:p>
      <w:pPr>
        <w:keepNext w:val="0"/>
        <w:keepLines w:val="0"/>
        <w:widowControl w:val="0"/>
        <w:suppressLineNumbers w:val="0"/>
        <w:spacing w:before="0" w:beforeAutospacing="0" w:after="0" w:afterAutospacing="0" w:line="600" w:lineRule="exact"/>
        <w:ind w:left="0" w:right="0"/>
        <w:jc w:val="center"/>
        <w:rPr>
          <w:rFonts w:hint="eastAsia" w:ascii="Times New Roman" w:hAnsi="Times New Roman" w:eastAsia="方正小标宋_GBK" w:cs="Times New Roman"/>
          <w:kern w:val="2"/>
          <w:sz w:val="44"/>
          <w:szCs w:val="44"/>
          <w:lang w:val="en-US" w:eastAsia="zh-CN" w:bidi="ar"/>
        </w:rPr>
      </w:pPr>
      <w:r>
        <w:rPr>
          <w:rFonts w:hint="eastAsia" w:ascii="Times New Roman" w:hAnsi="Times New Roman" w:eastAsia="方正小标宋_GBK" w:cs="Times New Roman"/>
          <w:kern w:val="2"/>
          <w:sz w:val="44"/>
          <w:szCs w:val="44"/>
          <w:lang w:val="en-US" w:eastAsia="zh-CN" w:bidi="ar"/>
        </w:rPr>
        <w:t>天河区婚俗改革猎德清和里婚姻文化</w:t>
      </w:r>
    </w:p>
    <w:p>
      <w:pPr>
        <w:keepNext w:val="0"/>
        <w:keepLines w:val="0"/>
        <w:widowControl w:val="0"/>
        <w:suppressLineNumbers w:val="0"/>
        <w:spacing w:before="0" w:beforeAutospacing="0" w:after="0" w:afterAutospacing="0" w:line="600" w:lineRule="exact"/>
        <w:ind w:left="0" w:right="0"/>
        <w:jc w:val="center"/>
        <w:rPr>
          <w:rFonts w:hint="default" w:ascii="Times New Roman" w:hAnsi="Times New Roman" w:eastAsia="仿宋_GB2312" w:cs="Times New Roman"/>
          <w:sz w:val="32"/>
          <w:szCs w:val="32"/>
          <w:lang w:val="en-US"/>
        </w:rPr>
      </w:pPr>
      <w:r>
        <w:rPr>
          <w:rFonts w:hint="eastAsia" w:ascii="Times New Roman" w:hAnsi="Times New Roman" w:eastAsia="方正小标宋_GBK" w:cs="Times New Roman"/>
          <w:kern w:val="2"/>
          <w:sz w:val="44"/>
          <w:szCs w:val="44"/>
          <w:lang w:val="en-US" w:eastAsia="zh-CN" w:bidi="ar"/>
        </w:rPr>
        <w:t>布置设计、制作项目需求</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黑体" w:cs="Times New Roman"/>
          <w:sz w:val="32"/>
          <w:szCs w:val="32"/>
          <w:lang w:val="en-US"/>
        </w:rPr>
      </w:pP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黑体" w:cs="Times New Roman"/>
          <w:sz w:val="32"/>
          <w:szCs w:val="32"/>
          <w:lang w:val="en-US"/>
        </w:rPr>
      </w:pPr>
      <w:r>
        <w:rPr>
          <w:rFonts w:hint="eastAsia" w:ascii="Times New Roman" w:hAnsi="Times New Roman" w:eastAsia="黑体" w:cs="Times New Roman"/>
          <w:kern w:val="2"/>
          <w:sz w:val="32"/>
          <w:szCs w:val="32"/>
          <w:lang w:val="en-US" w:eastAsia="zh-CN" w:bidi="ar"/>
        </w:rPr>
        <w:t>一、项目名称</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eastAsia" w:ascii="Times New Roman" w:hAnsi="Times New Roman" w:eastAsia="仿宋_GB2312" w:cs="Times New Roman"/>
          <w:kern w:val="2"/>
          <w:sz w:val="32"/>
          <w:szCs w:val="32"/>
          <w:lang w:val="en-US" w:eastAsia="zh-CN" w:bidi="ar"/>
        </w:rPr>
        <w:t>天河区婚俗改革猎德清和里婚姻文化布置设计、制作项目</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黑体" w:cs="Times New Roman"/>
          <w:sz w:val="32"/>
          <w:szCs w:val="32"/>
          <w:lang w:val="en-US"/>
        </w:rPr>
      </w:pPr>
      <w:r>
        <w:rPr>
          <w:rFonts w:hint="eastAsia" w:ascii="Times New Roman" w:hAnsi="Times New Roman" w:eastAsia="黑体" w:cs="Times New Roman"/>
          <w:kern w:val="2"/>
          <w:sz w:val="32"/>
          <w:szCs w:val="32"/>
          <w:lang w:val="en-US" w:eastAsia="zh-CN" w:bidi="ar"/>
        </w:rPr>
        <w:t>二、项目限价</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eastAsia" w:ascii="Times New Roman" w:hAnsi="Times New Roman" w:eastAsia="仿宋_GB2312" w:cs="Times New Roman"/>
          <w:kern w:val="2"/>
          <w:sz w:val="32"/>
          <w:szCs w:val="32"/>
          <w:lang w:val="en-US" w:eastAsia="zh-CN" w:bidi="ar"/>
        </w:rPr>
        <w:t>项目最高限价为人民币25万元（含税），实行总价包干</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项目经费的拨付按照财政资金支付流程和双方签订的合同约定执行。</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黑体" w:cs="Times New Roman"/>
          <w:sz w:val="32"/>
          <w:szCs w:val="32"/>
          <w:lang w:val="en-US"/>
        </w:rPr>
      </w:pPr>
      <w:r>
        <w:rPr>
          <w:rFonts w:hint="eastAsia" w:ascii="Times New Roman" w:hAnsi="Times New Roman" w:eastAsia="黑体" w:cs="Times New Roman"/>
          <w:kern w:val="2"/>
          <w:sz w:val="32"/>
          <w:szCs w:val="32"/>
          <w:lang w:val="en-US" w:eastAsia="zh-CN" w:bidi="ar"/>
        </w:rPr>
        <w:t>三、服务期限</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eastAsia" w:ascii="Times New Roman" w:hAnsi="Times New Roman" w:eastAsia="仿宋_GB2312" w:cs="Times New Roman"/>
          <w:kern w:val="2"/>
          <w:sz w:val="32"/>
          <w:szCs w:val="32"/>
          <w:lang w:val="en-US" w:eastAsia="zh-CN" w:bidi="ar"/>
        </w:rPr>
        <w:t>50天（具体时间以合同签订为准）</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黑体" w:cs="Times New Roman"/>
          <w:sz w:val="32"/>
          <w:szCs w:val="32"/>
          <w:lang w:val="en-US"/>
        </w:rPr>
      </w:pPr>
      <w:r>
        <w:rPr>
          <w:rFonts w:hint="eastAsia" w:ascii="Times New Roman" w:hAnsi="Times New Roman" w:eastAsia="黑体" w:cs="Times New Roman"/>
          <w:kern w:val="2"/>
          <w:sz w:val="32"/>
          <w:szCs w:val="32"/>
          <w:lang w:val="en-US" w:eastAsia="zh-CN" w:bidi="ar"/>
        </w:rPr>
        <w:t>四、项目需求</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楷体" w:cs="Times New Roman"/>
          <w:sz w:val="32"/>
          <w:szCs w:val="32"/>
          <w:lang w:val="en-US"/>
        </w:rPr>
      </w:pPr>
      <w:r>
        <w:rPr>
          <w:rFonts w:hint="eastAsia" w:ascii="Times New Roman" w:hAnsi="Times New Roman" w:eastAsia="楷体" w:cs="Times New Roman"/>
          <w:kern w:val="2"/>
          <w:sz w:val="32"/>
          <w:szCs w:val="32"/>
          <w:lang w:val="en-US" w:eastAsia="zh-CN" w:bidi="ar"/>
        </w:rPr>
        <w:t>（一）服务范围</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eastAsia" w:ascii="Times New Roman" w:hAnsi="Times New Roman" w:eastAsia="仿宋_GB2312" w:cs="Times New Roman"/>
          <w:kern w:val="2"/>
          <w:sz w:val="32"/>
          <w:szCs w:val="32"/>
          <w:lang w:val="en-US" w:eastAsia="zh-CN" w:bidi="ar"/>
        </w:rPr>
        <w:t>项目位于猎德清和里（地址：广东省广州市天河区猎德大道6号）。按照</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资源共享、优势互补、文明共建、共同发展</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的原则，链接原场地基础条件和设施进行设计、布置，打造天河区婚俗改革阵地，持续擦亮</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花城有爱</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花城有</w:t>
      </w:r>
      <w:r>
        <w:rPr>
          <w:rFonts w:hint="eastAsia" w:ascii="Times New Roman" w:hAnsi="Times New Roman" w:eastAsia="宋体" w:cs="Times New Roman"/>
          <w:kern w:val="2"/>
          <w:sz w:val="32"/>
          <w:szCs w:val="32"/>
          <w:lang w:val="en-US" w:eastAsia="zh-CN" w:bidi="ar"/>
        </w:rPr>
        <w:t>囍</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的天河婚姻家庭服务品牌。</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楷体" w:cs="Times New Roman"/>
          <w:sz w:val="32"/>
          <w:szCs w:val="32"/>
          <w:lang w:val="en-US"/>
        </w:rPr>
      </w:pPr>
      <w:r>
        <w:rPr>
          <w:rFonts w:hint="eastAsia" w:ascii="Times New Roman" w:hAnsi="Times New Roman" w:eastAsia="楷体" w:cs="Times New Roman"/>
          <w:kern w:val="2"/>
          <w:sz w:val="32"/>
          <w:szCs w:val="32"/>
          <w:lang w:val="en-US" w:eastAsia="zh-CN" w:bidi="ar"/>
        </w:rPr>
        <w:t>（二）服务内容</w:t>
      </w:r>
    </w:p>
    <w:p>
      <w:pPr>
        <w:keepNext w:val="0"/>
        <w:keepLines w:val="0"/>
        <w:widowControl w:val="0"/>
        <w:suppressLineNumbers w:val="0"/>
        <w:spacing w:before="0" w:beforeAutospacing="0" w:after="0" w:afterAutospacing="0" w:line="600" w:lineRule="exact"/>
        <w:ind w:left="0" w:right="0" w:firstLine="640" w:firstLineChars="200"/>
        <w:jc w:val="both"/>
        <w:rPr>
          <w:rFonts w:hint="eastAsia" w:ascii="Times New Roman" w:hAnsi="Times New Roman" w:eastAsia="仿宋_GB2312" w:cs="Times New Roman"/>
          <w:kern w:val="2"/>
          <w:sz w:val="32"/>
          <w:szCs w:val="32"/>
          <w:lang w:val="en-US" w:eastAsia="zh-CN" w:bidi="ar"/>
        </w:rPr>
      </w:pPr>
      <w:r>
        <w:rPr>
          <w:rFonts w:hint="eastAsia" w:ascii="Times New Roman" w:hAnsi="Times New Roman" w:eastAsia="仿宋_GB2312" w:cs="Times New Roman"/>
          <w:kern w:val="2"/>
          <w:sz w:val="32"/>
          <w:szCs w:val="32"/>
          <w:lang w:val="en-US" w:eastAsia="zh-CN" w:bidi="ar"/>
        </w:rPr>
        <w:t>猎德清和里是一处融合传统岭南风情与现代文化创新的新型文旅空间，不仅保留了原有的“岭南风”建筑特色，更融入了现代设计理念。拟合理利用现有建筑物资源，以新中式设计风格为主，完成婚俗改革阵地建设的其中六项任务，即设计一个婚俗改革标识，建设一个婚俗文化长廊，建立一个婚俗改革宣传阵地，建立一个婚姻家庭辅导驿站，设立一个结婚登记户外颁证点，建立一个婚俗幸福礼堂。该项目旨在传承岭南广府婚俗特色文化，弘扬新时代文明婚俗新风，倡导简约适度的婚俗礼仪，进一步营造浓厚的婚俗改革氛围。供应商为婚俗改革项目提供设计、制作、安装和维护的服务。具体服务内容如下：</w:t>
      </w:r>
    </w:p>
    <w:tbl>
      <w:tblPr>
        <w:tblStyle w:val="4"/>
        <w:tblW w:w="96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309"/>
        <w:gridCol w:w="2373"/>
        <w:gridCol w:w="5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trPr>
        <w:tc>
          <w:tcPr>
            <w:tcW w:w="711" w:type="dxa"/>
            <w:tcBorders>
              <w:top w:val="single" w:color="auto" w:sz="4" w:space="0"/>
              <w:left w:val="single" w:color="000000" w:sz="8"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309" w:type="dxa"/>
            <w:tcBorders>
              <w:top w:val="single" w:color="auto"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项目名称</w:t>
            </w:r>
          </w:p>
        </w:tc>
        <w:tc>
          <w:tcPr>
            <w:tcW w:w="2373" w:type="dxa"/>
            <w:tcBorders>
              <w:top w:val="single" w:color="auto"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内容说明</w:t>
            </w:r>
          </w:p>
        </w:tc>
        <w:tc>
          <w:tcPr>
            <w:tcW w:w="520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1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祠堂活动</w:t>
            </w:r>
          </w:p>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氛围背景   </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尺寸：宽度3.8-4米，高度2.4-2.6米，个性化造型， 好收纳，移动。                                                              其他：含创意设计，内容排版，制作，运输，安装。                              </w:t>
            </w:r>
            <w:r>
              <w:rPr>
                <w:rStyle w:val="6"/>
                <w:lang w:val="en-US" w:eastAsia="zh-CN" w:bidi="ar"/>
              </w:rPr>
              <w:t>材质：布艺，铁艺，烤漆板，安迪板裱喷绘等</w:t>
            </w:r>
          </w:p>
        </w:tc>
        <w:tc>
          <w:tcPr>
            <w:tcW w:w="5208" w:type="dxa"/>
            <w:vMerge w:val="restar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微软雅黑" w:hAnsi="微软雅黑" w:eastAsia="微软雅黑" w:cs="微软雅黑"/>
                <w:i w:val="0"/>
                <w:iCs w:val="0"/>
                <w:color w:val="FFFFFF"/>
                <w:sz w:val="24"/>
                <w:szCs w:val="24"/>
                <w:u w:val="none"/>
              </w:rPr>
            </w:pPr>
            <w:r>
              <w:rPr>
                <w:rFonts w:hint="eastAsia" w:ascii="微软雅黑" w:hAnsi="微软雅黑" w:eastAsia="微软雅黑" w:cs="微软雅黑"/>
                <w:i w:val="0"/>
                <w:iCs w:val="0"/>
                <w:color w:val="FFFFFF"/>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979170</wp:posOffset>
                  </wp:positionH>
                  <wp:positionV relativeFrom="paragraph">
                    <wp:posOffset>48895</wp:posOffset>
                  </wp:positionV>
                  <wp:extent cx="1376680" cy="1334135"/>
                  <wp:effectExtent l="0" t="0" r="10160" b="6985"/>
                  <wp:wrapNone/>
                  <wp:docPr id="125" name="图片_9"/>
                  <wp:cNvGraphicFramePr/>
                  <a:graphic xmlns:a="http://schemas.openxmlformats.org/drawingml/2006/main">
                    <a:graphicData uri="http://schemas.openxmlformats.org/drawingml/2006/picture">
                      <pic:pic xmlns:pic="http://schemas.openxmlformats.org/drawingml/2006/picture">
                        <pic:nvPicPr>
                          <pic:cNvPr id="125" name="图片_9"/>
                          <pic:cNvPicPr/>
                        </pic:nvPicPr>
                        <pic:blipFill>
                          <a:blip r:embed="rId4"/>
                          <a:stretch>
                            <a:fillRect/>
                          </a:stretch>
                        </pic:blipFill>
                        <pic:spPr>
                          <a:xfrm>
                            <a:off x="0" y="0"/>
                            <a:ext cx="1376680" cy="1334135"/>
                          </a:xfrm>
                          <a:prstGeom prst="rect">
                            <a:avLst/>
                          </a:prstGeom>
                          <a:noFill/>
                          <a:ln>
                            <a:noFill/>
                          </a:ln>
                        </pic:spPr>
                      </pic:pic>
                    </a:graphicData>
                  </a:graphic>
                </wp:anchor>
              </w:drawing>
            </w:r>
            <w:r>
              <w:rPr>
                <w:rFonts w:hint="eastAsia" w:ascii="微软雅黑" w:hAnsi="微软雅黑" w:eastAsia="微软雅黑" w:cs="微软雅黑"/>
                <w:i w:val="0"/>
                <w:iCs w:val="0"/>
                <w:color w:val="FFFFFF"/>
                <w:kern w:val="0"/>
                <w:sz w:val="24"/>
                <w:szCs w:val="24"/>
                <w:u w:val="none"/>
                <w:lang w:val="en-US" w:eastAsia="zh-CN" w:bidi="ar"/>
              </w:rPr>
              <w:t xml:space="preserve">345.0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71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nil"/>
              <w:left w:val="single" w:color="000000" w:sz="4" w:space="0"/>
              <w:bottom w:val="single" w:color="000000" w:sz="4" w:space="0"/>
              <w:right w:val="single" w:color="000000" w:sz="4" w:space="0"/>
            </w:tcBorders>
            <w:shd w:val="clear" w:color="auto" w:fill="auto"/>
            <w:noWrap/>
            <w:vAlign w:val="bottom"/>
          </w:tcPr>
          <w:p>
            <w:pPr>
              <w:jc w:val="right"/>
              <w:rPr>
                <w:rFonts w:hint="eastAsia" w:ascii="微软雅黑" w:hAnsi="微软雅黑" w:eastAsia="微软雅黑" w:cs="微软雅黑"/>
                <w:i w:val="0"/>
                <w:iCs w:val="0"/>
                <w:color w:val="FFFFFF"/>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1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祠堂活动</w:t>
            </w:r>
          </w:p>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氛围道具  </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尺寸：宽度1.8-2米，高度1-1.2米，个性化造型， 好收纳，移动。                                                              其他：含创意设计，内容排版，制作，运输，安装。                              </w:t>
            </w:r>
            <w:r>
              <w:rPr>
                <w:rStyle w:val="6"/>
                <w:lang w:val="en-US" w:eastAsia="zh-CN" w:bidi="ar"/>
              </w:rPr>
              <w:t>材质：铁艺，烤漆板，亚克力，安迪板裱喷绘等</w:t>
            </w:r>
          </w:p>
        </w:tc>
        <w:tc>
          <w:tcPr>
            <w:tcW w:w="5208"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right"/>
              <w:textAlignment w:val="bottom"/>
              <w:rPr>
                <w:rFonts w:hint="eastAsia" w:ascii="微软雅黑" w:hAnsi="微软雅黑" w:eastAsia="微软雅黑" w:cs="微软雅黑"/>
                <w:i w:val="0"/>
                <w:iCs w:val="0"/>
                <w:color w:val="FFFFFF"/>
                <w:sz w:val="24"/>
                <w:szCs w:val="24"/>
                <w:u w:val="none"/>
              </w:rPr>
            </w:pPr>
            <w:r>
              <w:rPr>
                <w:rFonts w:hint="eastAsia" w:ascii="微软雅黑" w:hAnsi="微软雅黑" w:eastAsia="微软雅黑" w:cs="微软雅黑"/>
                <w:i w:val="0"/>
                <w:iCs w:val="0"/>
                <w:color w:val="FFFFFF"/>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982980</wp:posOffset>
                  </wp:positionH>
                  <wp:positionV relativeFrom="paragraph">
                    <wp:posOffset>66675</wp:posOffset>
                  </wp:positionV>
                  <wp:extent cx="1367155" cy="1350645"/>
                  <wp:effectExtent l="0" t="0" r="4445" b="5715"/>
                  <wp:wrapNone/>
                  <wp:docPr id="126" name="图片_10"/>
                  <wp:cNvGraphicFramePr/>
                  <a:graphic xmlns:a="http://schemas.openxmlformats.org/drawingml/2006/main">
                    <a:graphicData uri="http://schemas.openxmlformats.org/drawingml/2006/picture">
                      <pic:pic xmlns:pic="http://schemas.openxmlformats.org/drawingml/2006/picture">
                        <pic:nvPicPr>
                          <pic:cNvPr id="126" name="图片_10"/>
                          <pic:cNvPicPr/>
                        </pic:nvPicPr>
                        <pic:blipFill>
                          <a:blip r:embed="rId5"/>
                          <a:stretch>
                            <a:fillRect/>
                          </a:stretch>
                        </pic:blipFill>
                        <pic:spPr>
                          <a:xfrm>
                            <a:off x="0" y="0"/>
                            <a:ext cx="1367155" cy="1350645"/>
                          </a:xfrm>
                          <a:prstGeom prst="rect">
                            <a:avLst/>
                          </a:prstGeom>
                          <a:noFill/>
                          <a:ln>
                            <a:noFill/>
                          </a:ln>
                        </pic:spPr>
                      </pic:pic>
                    </a:graphicData>
                  </a:graphic>
                </wp:anchor>
              </w:drawing>
            </w:r>
            <w:r>
              <w:rPr>
                <w:rFonts w:hint="eastAsia" w:ascii="微软雅黑" w:hAnsi="微软雅黑" w:eastAsia="微软雅黑" w:cs="微软雅黑"/>
                <w:i w:val="0"/>
                <w:iCs w:val="0"/>
                <w:color w:val="FFFFFF"/>
                <w:kern w:val="0"/>
                <w:sz w:val="24"/>
                <w:szCs w:val="24"/>
                <w:u w:val="none"/>
                <w:lang w:val="en-US" w:eastAsia="zh-CN" w:bidi="ar"/>
              </w:rPr>
              <w:t xml:space="preserve">238.0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1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right"/>
              <w:rPr>
                <w:rFonts w:hint="eastAsia" w:ascii="微软雅黑" w:hAnsi="微软雅黑" w:eastAsia="微软雅黑" w:cs="微软雅黑"/>
                <w:i w:val="0"/>
                <w:iCs w:val="0"/>
                <w:color w:val="FFFFFF"/>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71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right"/>
              <w:rPr>
                <w:rFonts w:hint="eastAsia" w:ascii="微软雅黑" w:hAnsi="微软雅黑" w:eastAsia="微软雅黑" w:cs="微软雅黑"/>
                <w:i w:val="0"/>
                <w:iCs w:val="0"/>
                <w:color w:val="FFFFFF"/>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11" w:type="dxa"/>
            <w:vMerge w:val="restart"/>
            <w:tcBorders>
              <w:top w:val="single" w:color="000000" w:sz="4" w:space="0"/>
              <w:left w:val="single" w:color="000000" w:sz="8"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连廊两端</w:t>
            </w:r>
          </w:p>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打卡区             </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尺寸：宽度2.6米，高度1.9-2.1米，个性化造型，双面设计。                                                              其他：含创意设计，内容排版，制作，运输，安装。                              </w:t>
            </w:r>
            <w:r>
              <w:rPr>
                <w:rStyle w:val="6"/>
                <w:lang w:val="en-US" w:eastAsia="zh-CN" w:bidi="ar"/>
              </w:rPr>
              <w:t>材质：室外用不锈钢烤漆，室内用亚克力或者烤漆板</w:t>
            </w:r>
          </w:p>
        </w:tc>
        <w:tc>
          <w:tcPr>
            <w:tcW w:w="5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55245</wp:posOffset>
                  </wp:positionH>
                  <wp:positionV relativeFrom="paragraph">
                    <wp:posOffset>123190</wp:posOffset>
                  </wp:positionV>
                  <wp:extent cx="833755" cy="1146175"/>
                  <wp:effectExtent l="0" t="0" r="4445" b="12065"/>
                  <wp:wrapNone/>
                  <wp:docPr id="127" name="图片_13"/>
                  <wp:cNvGraphicFramePr/>
                  <a:graphic xmlns:a="http://schemas.openxmlformats.org/drawingml/2006/main">
                    <a:graphicData uri="http://schemas.openxmlformats.org/drawingml/2006/picture">
                      <pic:pic xmlns:pic="http://schemas.openxmlformats.org/drawingml/2006/picture">
                        <pic:nvPicPr>
                          <pic:cNvPr id="127" name="图片_13"/>
                          <pic:cNvPicPr/>
                        </pic:nvPicPr>
                        <pic:blipFill>
                          <a:blip r:embed="rId6"/>
                          <a:stretch>
                            <a:fillRect/>
                          </a:stretch>
                        </pic:blipFill>
                        <pic:spPr>
                          <a:xfrm>
                            <a:off x="0" y="0"/>
                            <a:ext cx="833755" cy="114617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951230</wp:posOffset>
                  </wp:positionH>
                  <wp:positionV relativeFrom="paragraph">
                    <wp:posOffset>122555</wp:posOffset>
                  </wp:positionV>
                  <wp:extent cx="2193925" cy="1152525"/>
                  <wp:effectExtent l="0" t="0" r="635" b="5715"/>
                  <wp:wrapNone/>
                  <wp:docPr id="128" name="图片_8"/>
                  <wp:cNvGraphicFramePr/>
                  <a:graphic xmlns:a="http://schemas.openxmlformats.org/drawingml/2006/main">
                    <a:graphicData uri="http://schemas.openxmlformats.org/drawingml/2006/picture">
                      <pic:pic xmlns:pic="http://schemas.openxmlformats.org/drawingml/2006/picture">
                        <pic:nvPicPr>
                          <pic:cNvPr id="128" name="图片_8"/>
                          <pic:cNvPicPr/>
                        </pic:nvPicPr>
                        <pic:blipFill>
                          <a:blip r:embed="rId7"/>
                          <a:stretch>
                            <a:fillRect/>
                          </a:stretch>
                        </pic:blipFill>
                        <pic:spPr>
                          <a:xfrm>
                            <a:off x="0" y="0"/>
                            <a:ext cx="2193925" cy="1152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11" w:type="dxa"/>
            <w:vMerge w:val="continue"/>
            <w:tcBorders>
              <w:top w:val="single" w:color="000000" w:sz="4" w:space="0"/>
              <w:left w:val="single" w:color="000000" w:sz="8" w:space="0"/>
              <w:bottom w:val="nil"/>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711" w:type="dxa"/>
            <w:vMerge w:val="continue"/>
            <w:tcBorders>
              <w:top w:val="single" w:color="000000" w:sz="4" w:space="0"/>
              <w:left w:val="single" w:color="000000" w:sz="8" w:space="0"/>
              <w:bottom w:val="nil"/>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11" w:type="dxa"/>
            <w:vMerge w:val="restart"/>
            <w:tcBorders>
              <w:top w:val="single" w:color="000000" w:sz="4" w:space="0"/>
              <w:left w:val="single" w:color="000000" w:sz="8"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戏台两边文化宣传牌</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尺寸：戏台两边各三个宣传牌，宽度0.4-0.6米、高度为1.4-1.6米，个性化造型，单面设计。                                                            其他：含创意设计，内容排版，制作，运输，安装。                                  </w:t>
            </w:r>
            <w:r>
              <w:rPr>
                <w:rStyle w:val="6"/>
                <w:lang w:val="en-US" w:eastAsia="zh-CN" w:bidi="ar"/>
              </w:rPr>
              <w:t>材质：不锈钢烤漆</w:t>
            </w:r>
          </w:p>
        </w:tc>
        <w:tc>
          <w:tcPr>
            <w:tcW w:w="5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2927350" cy="1508125"/>
                  <wp:effectExtent l="0" t="0" r="13970" b="635"/>
                  <wp:docPr id="154" name="图片 154" descr="275a1f6c42715f804bb0c15bc9afc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275a1f6c42715f804bb0c15bc9afcf15"/>
                          <pic:cNvPicPr>
                            <a:picLocks noChangeAspect="1"/>
                          </pic:cNvPicPr>
                        </pic:nvPicPr>
                        <pic:blipFill>
                          <a:blip r:embed="rId8"/>
                          <a:stretch>
                            <a:fillRect/>
                          </a:stretch>
                        </pic:blipFill>
                        <pic:spPr>
                          <a:xfrm>
                            <a:off x="0" y="0"/>
                            <a:ext cx="2927350" cy="15081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trPr>
        <w:tc>
          <w:tcPr>
            <w:tcW w:w="711" w:type="dxa"/>
            <w:vMerge w:val="continue"/>
            <w:tcBorders>
              <w:top w:val="single" w:color="000000" w:sz="4" w:space="0"/>
              <w:left w:val="single" w:color="000000" w:sz="8" w:space="0"/>
              <w:bottom w:val="nil"/>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11" w:type="dxa"/>
            <w:vMerge w:val="continue"/>
            <w:tcBorders>
              <w:top w:val="single" w:color="000000" w:sz="4" w:space="0"/>
              <w:left w:val="single" w:color="000000" w:sz="8"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11" w:type="dxa"/>
            <w:tcBorders>
              <w:top w:val="single" w:color="000000" w:sz="4" w:space="0"/>
              <w:left w:val="single" w:color="000000" w:sz="8" w:space="0"/>
              <w:bottom w:val="single" w:color="auto"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309"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项目名称</w:t>
            </w:r>
          </w:p>
        </w:tc>
        <w:tc>
          <w:tcPr>
            <w:tcW w:w="237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内容说明</w:t>
            </w:r>
          </w:p>
        </w:tc>
        <w:tc>
          <w:tcPr>
            <w:tcW w:w="520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主舞台背景                  </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尺寸：宽度9米，高度3米，个性化造型，长期固定。                                                   其他：含创意设计，内容排版，制作，运输，安装。                              </w:t>
            </w:r>
            <w:r>
              <w:rPr>
                <w:rStyle w:val="6"/>
                <w:lang w:val="en-US" w:eastAsia="zh-CN" w:bidi="ar"/>
              </w:rPr>
              <w:t>材质：铁艺，不锈钢，烤漆板，亚克力等</w:t>
            </w:r>
          </w:p>
        </w:tc>
        <w:tc>
          <w:tcPr>
            <w:tcW w:w="5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389255</wp:posOffset>
                  </wp:positionH>
                  <wp:positionV relativeFrom="paragraph">
                    <wp:posOffset>146685</wp:posOffset>
                  </wp:positionV>
                  <wp:extent cx="2376170" cy="1353820"/>
                  <wp:effectExtent l="0" t="0" r="1270" b="2540"/>
                  <wp:wrapNone/>
                  <wp:docPr id="134" name="图片_16"/>
                  <wp:cNvGraphicFramePr/>
                  <a:graphic xmlns:a="http://schemas.openxmlformats.org/drawingml/2006/main">
                    <a:graphicData uri="http://schemas.openxmlformats.org/drawingml/2006/picture">
                      <pic:pic xmlns:pic="http://schemas.openxmlformats.org/drawingml/2006/picture">
                        <pic:nvPicPr>
                          <pic:cNvPr id="134" name="图片_16"/>
                          <pic:cNvPicPr/>
                        </pic:nvPicPr>
                        <pic:blipFill>
                          <a:blip r:embed="rId9"/>
                          <a:stretch>
                            <a:fillRect/>
                          </a:stretch>
                        </pic:blipFill>
                        <pic:spPr>
                          <a:xfrm>
                            <a:off x="0" y="0"/>
                            <a:ext cx="2376170" cy="1353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户外登记点</w:t>
            </w:r>
          </w:p>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展示牌             </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尺寸：宽度0.8米，高度1.8米，个性化造型，双面设计，长期固定。</w:t>
            </w:r>
            <w:r>
              <w:rPr>
                <w:rStyle w:val="6"/>
                <w:lang w:val="en-US" w:eastAsia="zh-CN" w:bidi="ar"/>
              </w:rPr>
              <w:t xml:space="preserve">  </w:t>
            </w:r>
            <w:r>
              <w:rPr>
                <w:rStyle w:val="7"/>
                <w:lang w:val="en-US" w:eastAsia="zh-CN" w:bidi="ar"/>
              </w:rPr>
              <w:t xml:space="preserve">                                                            其他：含创意设计，内容排版，制作，运输，安装。                                 </w:t>
            </w:r>
            <w:r>
              <w:rPr>
                <w:rStyle w:val="6"/>
                <w:lang w:val="en-US" w:eastAsia="zh-CN" w:bidi="ar"/>
              </w:rPr>
              <w:t>材质：不锈钢烤漆等</w:t>
            </w:r>
          </w:p>
        </w:tc>
        <w:tc>
          <w:tcPr>
            <w:tcW w:w="520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394970</wp:posOffset>
                  </wp:positionH>
                  <wp:positionV relativeFrom="paragraph">
                    <wp:posOffset>126365</wp:posOffset>
                  </wp:positionV>
                  <wp:extent cx="2388235" cy="1383665"/>
                  <wp:effectExtent l="0" t="0" r="4445" b="3175"/>
                  <wp:wrapNone/>
                  <wp:docPr id="135" name="图片_17"/>
                  <wp:cNvGraphicFramePr/>
                  <a:graphic xmlns:a="http://schemas.openxmlformats.org/drawingml/2006/main">
                    <a:graphicData uri="http://schemas.openxmlformats.org/drawingml/2006/picture">
                      <pic:pic xmlns:pic="http://schemas.openxmlformats.org/drawingml/2006/picture">
                        <pic:nvPicPr>
                          <pic:cNvPr id="135" name="图片_17"/>
                          <pic:cNvPicPr/>
                        </pic:nvPicPr>
                        <pic:blipFill>
                          <a:blip r:embed="rId10"/>
                          <a:stretch>
                            <a:fillRect/>
                          </a:stretch>
                        </pic:blipFill>
                        <pic:spPr>
                          <a:xfrm>
                            <a:off x="0" y="0"/>
                            <a:ext cx="2388235" cy="1383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restart"/>
            <w:tcBorders>
              <w:top w:val="single" w:color="auto" w:sz="4" w:space="0"/>
              <w:left w:val="single" w:color="000000" w:sz="8"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30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kern w:val="0"/>
                <w:sz w:val="16"/>
                <w:szCs w:val="16"/>
                <w:u w:val="none"/>
                <w:lang w:val="en-US" w:eastAsia="zh-CN" w:bidi="ar"/>
              </w:rPr>
            </w:pPr>
            <w:r>
              <w:rPr>
                <w:rFonts w:hint="eastAsia" w:ascii="微软雅黑" w:hAnsi="微软雅黑" w:eastAsia="微软雅黑" w:cs="微软雅黑"/>
                <w:i w:val="0"/>
                <w:iCs w:val="0"/>
                <w:color w:val="000000"/>
                <w:kern w:val="0"/>
                <w:sz w:val="16"/>
                <w:szCs w:val="16"/>
                <w:u w:val="none"/>
                <w:lang w:val="en-US" w:eastAsia="zh-CN" w:bidi="ar"/>
              </w:rPr>
              <w:t>户外颁证点</w:t>
            </w:r>
          </w:p>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kern w:val="0"/>
                <w:sz w:val="16"/>
                <w:szCs w:val="16"/>
                <w:u w:val="none"/>
                <w:lang w:val="en-US" w:eastAsia="zh-CN" w:bidi="ar"/>
              </w:rPr>
            </w:pPr>
            <w:r>
              <w:rPr>
                <w:rFonts w:hint="eastAsia" w:ascii="微软雅黑" w:hAnsi="微软雅黑" w:eastAsia="微软雅黑" w:cs="微软雅黑"/>
                <w:i w:val="0"/>
                <w:iCs w:val="0"/>
                <w:color w:val="000000"/>
                <w:kern w:val="0"/>
                <w:sz w:val="16"/>
                <w:szCs w:val="16"/>
                <w:u w:val="none"/>
                <w:lang w:val="en-US" w:eastAsia="zh-CN" w:bidi="ar"/>
              </w:rPr>
              <w:t>展示牌，        辅导驿站</w:t>
            </w:r>
          </w:p>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kern w:val="0"/>
                <w:sz w:val="16"/>
                <w:szCs w:val="16"/>
                <w:u w:val="none"/>
                <w:lang w:val="en-US" w:eastAsia="zh-CN" w:bidi="ar"/>
              </w:rPr>
            </w:pPr>
            <w:r>
              <w:rPr>
                <w:rFonts w:hint="eastAsia" w:ascii="微软雅黑" w:hAnsi="微软雅黑" w:eastAsia="微软雅黑" w:cs="微软雅黑"/>
                <w:i w:val="0"/>
                <w:iCs w:val="0"/>
                <w:color w:val="000000"/>
                <w:kern w:val="0"/>
                <w:sz w:val="16"/>
                <w:szCs w:val="16"/>
                <w:u w:val="none"/>
                <w:lang w:val="en-US" w:eastAsia="zh-CN" w:bidi="ar"/>
              </w:rPr>
              <w:t>展示牌，</w:t>
            </w:r>
          </w:p>
          <w:p>
            <w:pPr>
              <w:pStyle w:val="2"/>
              <w:spacing w:line="240" w:lineRule="auto"/>
              <w:jc w:val="center"/>
              <w:rPr>
                <w:rFonts w:hint="eastAsia" w:ascii="微软雅黑" w:hAnsi="微软雅黑" w:eastAsia="微软雅黑" w:cs="微软雅黑"/>
                <w:i w:val="0"/>
                <w:iCs w:val="0"/>
                <w:color w:val="000000"/>
                <w:kern w:val="0"/>
                <w:sz w:val="16"/>
                <w:szCs w:val="16"/>
                <w:u w:val="none"/>
                <w:lang w:val="en-US" w:eastAsia="zh-CN" w:bidi="ar"/>
              </w:rPr>
            </w:pPr>
            <w:r>
              <w:rPr>
                <w:rFonts w:hint="eastAsia" w:ascii="微软雅黑" w:hAnsi="微软雅黑" w:eastAsia="微软雅黑" w:cs="微软雅黑"/>
                <w:i w:val="0"/>
                <w:iCs w:val="0"/>
                <w:color w:val="000000"/>
                <w:kern w:val="0"/>
                <w:sz w:val="16"/>
                <w:szCs w:val="16"/>
                <w:u w:val="none"/>
                <w:lang w:val="en-US" w:eastAsia="zh-CN" w:bidi="ar"/>
              </w:rPr>
              <w:t>婚</w:t>
            </w:r>
            <w:bookmarkStart w:id="0" w:name="_GoBack"/>
            <w:bookmarkEnd w:id="0"/>
            <w:r>
              <w:rPr>
                <w:rFonts w:hint="eastAsia" w:ascii="微软雅黑" w:hAnsi="微软雅黑" w:eastAsia="微软雅黑" w:cs="微软雅黑"/>
                <w:i w:val="0"/>
                <w:iCs w:val="0"/>
                <w:color w:val="000000"/>
                <w:kern w:val="0"/>
                <w:sz w:val="16"/>
                <w:szCs w:val="16"/>
                <w:u w:val="none"/>
                <w:lang w:val="en-US" w:eastAsia="zh-CN" w:bidi="ar"/>
              </w:rPr>
              <w:t>姻辅导驿站</w:t>
            </w:r>
          </w:p>
          <w:p>
            <w:pPr>
              <w:pStyle w:val="2"/>
              <w:spacing w:line="240" w:lineRule="auto"/>
              <w:jc w:val="center"/>
              <w:rPr>
                <w:rFonts w:hint="eastAsia" w:ascii="微软雅黑" w:hAnsi="微软雅黑" w:eastAsia="微软雅黑" w:cs="微软雅黑"/>
                <w:i w:val="0"/>
                <w:iCs w:val="0"/>
                <w:color w:val="000000"/>
                <w:kern w:val="0"/>
                <w:sz w:val="16"/>
                <w:szCs w:val="16"/>
                <w:u w:val="none"/>
                <w:lang w:val="en-US" w:eastAsia="zh-CN" w:bidi="ar"/>
              </w:rPr>
            </w:pPr>
            <w:r>
              <w:rPr>
                <w:rFonts w:hint="eastAsia" w:ascii="微软雅黑" w:hAnsi="微软雅黑" w:eastAsia="微软雅黑" w:cs="微软雅黑"/>
                <w:i w:val="0"/>
                <w:iCs w:val="0"/>
                <w:color w:val="000000"/>
                <w:kern w:val="0"/>
                <w:sz w:val="16"/>
                <w:szCs w:val="16"/>
                <w:u w:val="none"/>
                <w:lang w:val="en-US" w:eastAsia="zh-CN" w:bidi="ar"/>
              </w:rPr>
              <w:t>美陈展示墙</w:t>
            </w:r>
          </w:p>
          <w:p>
            <w:pPr>
              <w:pStyle w:val="2"/>
              <w:spacing w:line="240" w:lineRule="auto"/>
              <w:jc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6"/>
                <w:szCs w:val="16"/>
                <w:u w:val="none"/>
                <w:lang w:val="en-US" w:eastAsia="zh-CN" w:bidi="ar"/>
              </w:rPr>
              <w:t>（室内）</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6"/>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尺寸：0.4米宽X0.3米高，0.4米宽X0.3米</w:t>
            </w:r>
            <w:r>
              <w:rPr>
                <w:rFonts w:hint="eastAsia" w:ascii="微软雅黑" w:hAnsi="微软雅黑" w:eastAsia="微软雅黑" w:cs="微软雅黑"/>
                <w:i w:val="0"/>
                <w:iCs w:val="0"/>
                <w:color w:val="auto"/>
                <w:kern w:val="0"/>
                <w:sz w:val="18"/>
                <w:szCs w:val="18"/>
                <w:u w:val="none"/>
                <w:lang w:val="en-US" w:eastAsia="zh-CN" w:bidi="ar"/>
              </w:rPr>
              <w:t>高</w:t>
            </w:r>
            <w:r>
              <w:rPr>
                <w:rStyle w:val="6"/>
                <w:color w:val="auto"/>
                <w:lang w:val="en-US" w:eastAsia="zh-CN" w:bidi="ar"/>
              </w:rPr>
              <w:t xml:space="preserve">， </w:t>
            </w:r>
            <w:r>
              <w:rPr>
                <w:rStyle w:val="6"/>
                <w:lang w:val="en-US" w:eastAsia="zh-CN" w:bidi="ar"/>
              </w:rPr>
              <w:t xml:space="preserve"> </w:t>
            </w:r>
          </w:p>
          <w:p>
            <w:pPr>
              <w:keepNext w:val="0"/>
              <w:keepLines w:val="0"/>
              <w:widowControl/>
              <w:suppressLineNumbers w:val="0"/>
              <w:jc w:val="left"/>
              <w:textAlignment w:val="center"/>
              <w:rPr>
                <w:rStyle w:val="6"/>
                <w:rFonts w:hint="eastAsia"/>
                <w:lang w:val="en-US" w:eastAsia="zh-CN" w:bidi="ar"/>
              </w:rPr>
            </w:pPr>
            <w:r>
              <w:rPr>
                <w:rStyle w:val="6"/>
                <w:rFonts w:hint="eastAsia"/>
                <w:color w:val="auto"/>
                <w:lang w:val="en-US" w:eastAsia="zh-CN" w:bidi="ar"/>
              </w:rPr>
              <w:t>1.1米宽</w:t>
            </w:r>
            <w:r>
              <w:rPr>
                <w:rFonts w:hint="eastAsia" w:ascii="微软雅黑" w:hAnsi="微软雅黑" w:eastAsia="微软雅黑" w:cs="微软雅黑"/>
                <w:i w:val="0"/>
                <w:iCs w:val="0"/>
                <w:color w:val="000000"/>
                <w:kern w:val="0"/>
                <w:sz w:val="18"/>
                <w:szCs w:val="18"/>
                <w:u w:val="none"/>
                <w:lang w:val="en-US" w:eastAsia="zh-CN" w:bidi="ar"/>
              </w:rPr>
              <w:t>X0.6米高</w:t>
            </w:r>
            <w:r>
              <w:rPr>
                <w:rStyle w:val="6"/>
                <w:color w:val="auto"/>
                <w:lang w:val="en-US" w:eastAsia="zh-CN" w:bidi="ar"/>
              </w:rPr>
              <w:t xml:space="preserve"> </w:t>
            </w:r>
            <w:r>
              <w:rPr>
                <w:rStyle w:val="6"/>
                <w:rFonts w:hint="default"/>
                <w:color w:val="auto"/>
                <w:lang w:val="en-US" w:eastAsia="zh-CN" w:bidi="ar"/>
              </w:rPr>
              <w:t>,</w:t>
            </w:r>
            <w:r>
              <w:rPr>
                <w:rStyle w:val="7"/>
                <w:color w:val="auto"/>
                <w:lang w:val="en-US" w:eastAsia="zh-CN" w:bidi="ar"/>
              </w:rPr>
              <w:t xml:space="preserve">    </w:t>
            </w:r>
            <w:r>
              <w:rPr>
                <w:rStyle w:val="7"/>
                <w:lang w:val="en-US" w:eastAsia="zh-CN" w:bidi="ar"/>
              </w:rPr>
              <w:t xml:space="preserve">                                                   其他：含logo设计，内容排版，制作，运输，安装。                                 </w:t>
            </w:r>
            <w:r>
              <w:rPr>
                <w:rStyle w:val="6"/>
                <w:lang w:val="en-US" w:eastAsia="zh-CN" w:bidi="ar"/>
              </w:rPr>
              <w:t>展示牌材质：不锈钢材质，可单面挂墙安装</w:t>
            </w:r>
            <w:r>
              <w:rPr>
                <w:rStyle w:val="6"/>
                <w:rFonts w:hint="eastAsia"/>
                <w:lang w:val="en-US" w:eastAsia="zh-CN" w:bidi="ar"/>
              </w:rPr>
              <w:t>。</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Style w:val="6"/>
                <w:rFonts w:hint="eastAsia" w:eastAsia="微软雅黑"/>
                <w:lang w:val="en-US" w:eastAsia="zh-CN" w:bidi="ar"/>
              </w:rPr>
              <w:t>美陈展示墙：亚克力</w:t>
            </w:r>
          </w:p>
        </w:tc>
        <w:tc>
          <w:tcPr>
            <w:tcW w:w="5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2317750" cy="1599565"/>
                  <wp:effectExtent l="0" t="0" r="13970" b="635"/>
                  <wp:docPr id="150" name="图片 150" descr="88216b6662bc38fb2381624a369d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88216b6662bc38fb2381624a369d0c6"/>
                          <pic:cNvPicPr>
                            <a:picLocks noChangeAspect="1"/>
                          </pic:cNvPicPr>
                        </pic:nvPicPr>
                        <pic:blipFill>
                          <a:blip r:embed="rId11"/>
                          <a:stretch>
                            <a:fillRect/>
                          </a:stretch>
                        </pic:blipFill>
                        <pic:spPr>
                          <a:xfrm>
                            <a:off x="0" y="0"/>
                            <a:ext cx="2317750" cy="1599565"/>
                          </a:xfrm>
                          <a:prstGeom prst="rect">
                            <a:avLst/>
                          </a:prstGeom>
                        </pic:spPr>
                      </pic:pic>
                    </a:graphicData>
                  </a:graphic>
                </wp:inline>
              </w:drawing>
            </w:r>
            <w:r>
              <w:rPr>
                <w:rFonts w:hint="eastAsia" w:ascii="微软雅黑" w:hAnsi="微软雅黑" w:eastAsia="微软雅黑" w:cs="微软雅黑"/>
                <w:i w:val="0"/>
                <w:iCs w:val="0"/>
                <w:color w:val="000000"/>
                <w:sz w:val="20"/>
                <w:szCs w:val="20"/>
                <w:u w:val="none"/>
                <w:lang w:eastAsia="zh-CN"/>
              </w:rPr>
              <w:drawing>
                <wp:inline distT="0" distB="0" distL="114300" distR="114300">
                  <wp:extent cx="2312035" cy="1360170"/>
                  <wp:effectExtent l="0" t="0" r="4445" b="11430"/>
                  <wp:docPr id="151" name="图片 151" descr="71d2927a88004f4958ee44e16281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71d2927a88004f4958ee44e162813c1"/>
                          <pic:cNvPicPr>
                            <a:picLocks noChangeAspect="1"/>
                          </pic:cNvPicPr>
                        </pic:nvPicPr>
                        <pic:blipFill>
                          <a:blip r:embed="rId12"/>
                          <a:stretch>
                            <a:fillRect/>
                          </a:stretch>
                        </pic:blipFill>
                        <pic:spPr>
                          <a:xfrm>
                            <a:off x="0" y="0"/>
                            <a:ext cx="2312035" cy="13601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8"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nil"/>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7" w:hRule="atLeast"/>
        </w:trPr>
        <w:tc>
          <w:tcPr>
            <w:tcW w:w="711" w:type="dxa"/>
            <w:vMerge w:val="continue"/>
            <w:tcBorders>
              <w:top w:val="single" w:color="auto" w:sz="4" w:space="0"/>
              <w:left w:val="single" w:color="000000" w:sz="8"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nil"/>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309"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结婚誓词</w:t>
            </w:r>
          </w:p>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展示牌</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尺寸：宽度0.8米，高度1.8米，个性化造型，双面设计，长期固定，不锈钢材质。                                                             其他：含创意设计，内容排版，制作，运输，安装。                              </w:t>
            </w:r>
            <w:r>
              <w:rPr>
                <w:rStyle w:val="6"/>
                <w:lang w:val="en-US" w:eastAsia="zh-CN" w:bidi="ar"/>
              </w:rPr>
              <w:t>材质：不锈钢烤漆</w:t>
            </w:r>
          </w:p>
        </w:tc>
        <w:tc>
          <w:tcPr>
            <w:tcW w:w="520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872490</wp:posOffset>
                  </wp:positionH>
                  <wp:positionV relativeFrom="paragraph">
                    <wp:posOffset>55880</wp:posOffset>
                  </wp:positionV>
                  <wp:extent cx="1286510" cy="1527175"/>
                  <wp:effectExtent l="0" t="0" r="8890" b="12065"/>
                  <wp:wrapNone/>
                  <wp:docPr id="136" name="图片_18"/>
                  <wp:cNvGraphicFramePr/>
                  <a:graphic xmlns:a="http://schemas.openxmlformats.org/drawingml/2006/main">
                    <a:graphicData uri="http://schemas.openxmlformats.org/drawingml/2006/picture">
                      <pic:pic xmlns:pic="http://schemas.openxmlformats.org/drawingml/2006/picture">
                        <pic:nvPicPr>
                          <pic:cNvPr id="136" name="图片_18"/>
                          <pic:cNvPicPr/>
                        </pic:nvPicPr>
                        <pic:blipFill>
                          <a:blip r:embed="rId13"/>
                          <a:stretch>
                            <a:fillRect/>
                          </a:stretch>
                        </pic:blipFill>
                        <pic:spPr>
                          <a:xfrm>
                            <a:off x="0" y="0"/>
                            <a:ext cx="1286510" cy="1527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nil"/>
              <w:left w:val="single" w:color="000000" w:sz="4" w:space="0"/>
              <w:bottom w:val="nil"/>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nil"/>
              <w:left w:val="single" w:color="000000" w:sz="4" w:space="0"/>
              <w:bottom w:val="single" w:color="auto"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711" w:type="dxa"/>
            <w:tcBorders>
              <w:top w:val="single" w:color="auto" w:sz="4" w:space="0"/>
              <w:left w:val="single" w:color="000000" w:sz="8" w:space="0"/>
              <w:bottom w:val="single" w:color="auto"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309" w:type="dxa"/>
            <w:tcBorders>
              <w:top w:val="single" w:color="auto" w:sz="4" w:space="0"/>
              <w:left w:val="single" w:color="000000" w:sz="4" w:space="0"/>
              <w:bottom w:val="single" w:color="auto"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项目名称</w:t>
            </w:r>
          </w:p>
        </w:tc>
        <w:tc>
          <w:tcPr>
            <w:tcW w:w="237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内容说明</w:t>
            </w:r>
          </w:p>
        </w:tc>
        <w:tc>
          <w:tcPr>
            <w:tcW w:w="5208" w:type="dxa"/>
            <w:tcBorders>
              <w:top w:val="single" w:color="auto"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7" w:hRule="atLeast"/>
        </w:trPr>
        <w:tc>
          <w:tcPr>
            <w:tcW w:w="711" w:type="dxa"/>
            <w:tcBorders>
              <w:top w:val="single" w:color="auto" w:sz="4" w:space="0"/>
              <w:left w:val="single" w:color="000000" w:sz="8"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t>9</w:t>
            </w:r>
          </w:p>
        </w:tc>
        <w:tc>
          <w:tcPr>
            <w:tcW w:w="130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t xml:space="preserve">桥上打卡点             </w:t>
            </w:r>
          </w:p>
        </w:tc>
        <w:tc>
          <w:tcPr>
            <w:tcW w:w="2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t>尺寸：宽度3米，高度1.8米，个性化造型，双面设计，长期固定。</w:t>
            </w:r>
            <w:r>
              <w:rPr>
                <w:rStyle w:val="6"/>
                <w:lang w:val="en-US" w:eastAsia="zh-CN" w:bidi="ar"/>
              </w:rPr>
              <w:t xml:space="preserve"> </w:t>
            </w:r>
            <w:r>
              <w:rPr>
                <w:rStyle w:val="7"/>
                <w:lang w:val="en-US" w:eastAsia="zh-CN" w:bidi="ar"/>
              </w:rPr>
              <w:t xml:space="preserve">                                                                     其他：含创意设计，内容排版，制作，运输，安装。                              </w:t>
            </w:r>
            <w:r>
              <w:rPr>
                <w:rStyle w:val="6"/>
                <w:lang w:val="en-US" w:eastAsia="zh-CN" w:bidi="ar"/>
              </w:rPr>
              <w:t>材质：不锈钢烤漆</w:t>
            </w:r>
            <w:r>
              <w:rPr>
                <w:rStyle w:val="7"/>
                <w:lang w:val="en-US" w:eastAsia="zh-CN" w:bidi="ar"/>
              </w:rPr>
              <w:t xml:space="preserve">       </w:t>
            </w:r>
          </w:p>
        </w:tc>
        <w:tc>
          <w:tcPr>
            <w:tcW w:w="5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534670</wp:posOffset>
                  </wp:positionH>
                  <wp:positionV relativeFrom="paragraph">
                    <wp:posOffset>37465</wp:posOffset>
                  </wp:positionV>
                  <wp:extent cx="2080895" cy="1419225"/>
                  <wp:effectExtent l="0" t="0" r="6985" b="13335"/>
                  <wp:wrapNone/>
                  <wp:docPr id="153" name="图片_19"/>
                  <wp:cNvGraphicFramePr/>
                  <a:graphic xmlns:a="http://schemas.openxmlformats.org/drawingml/2006/main">
                    <a:graphicData uri="http://schemas.openxmlformats.org/drawingml/2006/picture">
                      <pic:pic xmlns:pic="http://schemas.openxmlformats.org/drawingml/2006/picture">
                        <pic:nvPicPr>
                          <pic:cNvPr id="153" name="图片_19"/>
                          <pic:cNvPicPr/>
                        </pic:nvPicPr>
                        <pic:blipFill>
                          <a:blip r:embed="rId14"/>
                          <a:stretch>
                            <a:fillRect/>
                          </a:stretch>
                        </pic:blipFill>
                        <pic:spPr>
                          <a:xfrm>
                            <a:off x="0" y="0"/>
                            <a:ext cx="2080895" cy="1419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30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台阶打卡点             </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尺寸：高度0.8-1米，台阶打卡氛围道具设计，个性化造型，双面设计，长期固定。</w:t>
            </w:r>
            <w:r>
              <w:rPr>
                <w:rStyle w:val="6"/>
                <w:lang w:val="en-US" w:eastAsia="zh-CN" w:bidi="ar"/>
              </w:rPr>
              <w:t xml:space="preserve">     </w:t>
            </w:r>
            <w:r>
              <w:rPr>
                <w:rStyle w:val="7"/>
                <w:lang w:val="en-US" w:eastAsia="zh-CN" w:bidi="ar"/>
              </w:rPr>
              <w:t xml:space="preserve">                                                       其他：含创意设计，内容排版，制作，运输，安装。                              </w:t>
            </w:r>
            <w:r>
              <w:rPr>
                <w:rStyle w:val="6"/>
                <w:lang w:val="en-US" w:eastAsia="zh-CN" w:bidi="ar"/>
              </w:rPr>
              <w:t>材质：不锈钢烤漆</w:t>
            </w:r>
          </w:p>
        </w:tc>
        <w:tc>
          <w:tcPr>
            <w:tcW w:w="5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431800</wp:posOffset>
                  </wp:positionH>
                  <wp:positionV relativeFrom="paragraph">
                    <wp:posOffset>72390</wp:posOffset>
                  </wp:positionV>
                  <wp:extent cx="2273300" cy="1498600"/>
                  <wp:effectExtent l="0" t="0" r="12700" b="10160"/>
                  <wp:wrapNone/>
                  <wp:docPr id="144" name="图片_20"/>
                  <wp:cNvGraphicFramePr/>
                  <a:graphic xmlns:a="http://schemas.openxmlformats.org/drawingml/2006/main">
                    <a:graphicData uri="http://schemas.openxmlformats.org/drawingml/2006/picture">
                      <pic:pic xmlns:pic="http://schemas.openxmlformats.org/drawingml/2006/picture">
                        <pic:nvPicPr>
                          <pic:cNvPr id="144" name="图片_20"/>
                          <pic:cNvPicPr/>
                        </pic:nvPicPr>
                        <pic:blipFill>
                          <a:blip r:embed="rId15"/>
                          <a:stretch>
                            <a:fillRect/>
                          </a:stretch>
                        </pic:blipFill>
                        <pic:spPr>
                          <a:xfrm>
                            <a:off x="0" y="0"/>
                            <a:ext cx="2273300" cy="1498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11</w:t>
            </w:r>
          </w:p>
        </w:tc>
        <w:tc>
          <w:tcPr>
            <w:tcW w:w="130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导示指引设计             </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尺寸：高度2.4米，个性化造型，双面设计，长期固定。                                                           其他：含创意设计，内容排版，制作，运输，安装。                              </w:t>
            </w:r>
            <w:r>
              <w:rPr>
                <w:rStyle w:val="6"/>
                <w:lang w:val="en-US" w:eastAsia="zh-CN" w:bidi="ar"/>
              </w:rPr>
              <w:t>材质：不锈钢烤漆</w:t>
            </w:r>
          </w:p>
        </w:tc>
        <w:tc>
          <w:tcPr>
            <w:tcW w:w="5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1489710</wp:posOffset>
                  </wp:positionH>
                  <wp:positionV relativeFrom="paragraph">
                    <wp:posOffset>136525</wp:posOffset>
                  </wp:positionV>
                  <wp:extent cx="1692910" cy="1204595"/>
                  <wp:effectExtent l="0" t="0" r="13970" b="14605"/>
                  <wp:wrapNone/>
                  <wp:docPr id="146" name="图片_22"/>
                  <wp:cNvGraphicFramePr/>
                  <a:graphic xmlns:a="http://schemas.openxmlformats.org/drawingml/2006/main">
                    <a:graphicData uri="http://schemas.openxmlformats.org/drawingml/2006/picture">
                      <pic:pic xmlns:pic="http://schemas.openxmlformats.org/drawingml/2006/picture">
                        <pic:nvPicPr>
                          <pic:cNvPr id="146" name="图片_22"/>
                          <pic:cNvPicPr/>
                        </pic:nvPicPr>
                        <pic:blipFill>
                          <a:blip r:embed="rId16"/>
                          <a:stretch>
                            <a:fillRect/>
                          </a:stretch>
                        </pic:blipFill>
                        <pic:spPr>
                          <a:xfrm>
                            <a:off x="0" y="0"/>
                            <a:ext cx="1692910" cy="120459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-12065</wp:posOffset>
                  </wp:positionH>
                  <wp:positionV relativeFrom="paragraph">
                    <wp:posOffset>136525</wp:posOffset>
                  </wp:positionV>
                  <wp:extent cx="1480820" cy="1216660"/>
                  <wp:effectExtent l="0" t="0" r="12700" b="2540"/>
                  <wp:wrapNone/>
                  <wp:docPr id="145" name="图片_21"/>
                  <wp:cNvGraphicFramePr/>
                  <a:graphic xmlns:a="http://schemas.openxmlformats.org/drawingml/2006/main">
                    <a:graphicData uri="http://schemas.openxmlformats.org/drawingml/2006/picture">
                      <pic:pic xmlns:pic="http://schemas.openxmlformats.org/drawingml/2006/picture">
                        <pic:nvPicPr>
                          <pic:cNvPr id="145" name="图片_21"/>
                          <pic:cNvPicPr/>
                        </pic:nvPicPr>
                        <pic:blipFill>
                          <a:blip r:embed="rId17"/>
                          <a:stretch>
                            <a:fillRect/>
                          </a:stretch>
                        </pic:blipFill>
                        <pic:spPr>
                          <a:xfrm>
                            <a:off x="0" y="0"/>
                            <a:ext cx="1480820" cy="1216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12</w:t>
            </w:r>
          </w:p>
        </w:tc>
        <w:tc>
          <w:tcPr>
            <w:tcW w:w="130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花城有囍</w:t>
            </w:r>
          </w:p>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天作之合</w:t>
            </w:r>
          </w:p>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户外立体字</w:t>
            </w:r>
          </w:p>
        </w:tc>
        <w:tc>
          <w:tcPr>
            <w:tcW w:w="23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尺寸：高度0.6米，个性化造型，双面设计，活动摆放。                                                               其他：含创意设计，内容排版，制作，运输，安装。                              </w:t>
            </w:r>
            <w:r>
              <w:rPr>
                <w:rStyle w:val="6"/>
                <w:lang w:val="en-US" w:eastAsia="zh-CN" w:bidi="ar"/>
              </w:rPr>
              <w:t>材质：不锈钢烤漆</w:t>
            </w:r>
          </w:p>
        </w:tc>
        <w:tc>
          <w:tcPr>
            <w:tcW w:w="520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28575</wp:posOffset>
                  </wp:positionH>
                  <wp:positionV relativeFrom="paragraph">
                    <wp:posOffset>66675</wp:posOffset>
                  </wp:positionV>
                  <wp:extent cx="3091180" cy="1487805"/>
                  <wp:effectExtent l="0" t="0" r="2540" b="5715"/>
                  <wp:wrapNone/>
                  <wp:docPr id="147" name="图片_23"/>
                  <wp:cNvGraphicFramePr/>
                  <a:graphic xmlns:a="http://schemas.openxmlformats.org/drawingml/2006/main">
                    <a:graphicData uri="http://schemas.openxmlformats.org/drawingml/2006/picture">
                      <pic:pic xmlns:pic="http://schemas.openxmlformats.org/drawingml/2006/picture">
                        <pic:nvPicPr>
                          <pic:cNvPr id="147" name="图片_23"/>
                          <pic:cNvPicPr/>
                        </pic:nvPicPr>
                        <pic:blipFill>
                          <a:blip r:embed="rId18"/>
                          <a:stretch>
                            <a:fillRect/>
                          </a:stretch>
                        </pic:blipFill>
                        <pic:spPr>
                          <a:xfrm>
                            <a:off x="0" y="0"/>
                            <a:ext cx="3091180" cy="14878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130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spacing w:line="440" w:lineRule="exact"/>
              <w:jc w:val="center"/>
              <w:rPr>
                <w:rFonts w:hint="eastAsia" w:ascii="微软雅黑" w:hAnsi="微软雅黑" w:eastAsia="微软雅黑" w:cs="微软雅黑"/>
                <w:i w:val="0"/>
                <w:iCs w:val="0"/>
                <w:color w:val="000000"/>
                <w:sz w:val="18"/>
                <w:szCs w:val="18"/>
                <w:u w:val="none"/>
              </w:rPr>
            </w:pPr>
          </w:p>
        </w:tc>
        <w:tc>
          <w:tcPr>
            <w:tcW w:w="23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18"/>
                <w:szCs w:val="18"/>
                <w:u w:val="none"/>
              </w:rPr>
            </w:pPr>
          </w:p>
        </w:tc>
        <w:tc>
          <w:tcPr>
            <w:tcW w:w="520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1" w:hRule="atLeast"/>
        </w:trPr>
        <w:tc>
          <w:tcPr>
            <w:tcW w:w="7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13</w:t>
            </w:r>
          </w:p>
        </w:tc>
        <w:tc>
          <w:tcPr>
            <w:tcW w:w="130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40" w:lineRule="exact"/>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主舞台临时移动背景 ,活动期间临时用</w:t>
            </w:r>
          </w:p>
        </w:tc>
        <w:tc>
          <w:tcPr>
            <w:tcW w:w="2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尺寸：宽度8米，高度3米                                                     其他：含创意设计，内容排版，制作，运输，安装。</w:t>
            </w:r>
          </w:p>
          <w:p>
            <w:pPr>
              <w:pStyle w:val="2"/>
              <w:rPr>
                <w:rFonts w:hint="eastAsia"/>
              </w:rPr>
            </w:pPr>
            <w:r>
              <w:rPr>
                <w:rStyle w:val="6"/>
                <w:lang w:val="en-US" w:eastAsia="zh-CN" w:bidi="ar"/>
              </w:rPr>
              <w:t>材质：桁架和广告喷绘</w:t>
            </w:r>
          </w:p>
        </w:tc>
        <w:tc>
          <w:tcPr>
            <w:tcW w:w="5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22225</wp:posOffset>
                  </wp:positionH>
                  <wp:positionV relativeFrom="paragraph">
                    <wp:posOffset>12065</wp:posOffset>
                  </wp:positionV>
                  <wp:extent cx="1671320" cy="995680"/>
                  <wp:effectExtent l="0" t="0" r="5080" b="10160"/>
                  <wp:wrapNone/>
                  <wp:docPr id="149" name="图片_25"/>
                  <wp:cNvGraphicFramePr/>
                  <a:graphic xmlns:a="http://schemas.openxmlformats.org/drawingml/2006/main">
                    <a:graphicData uri="http://schemas.openxmlformats.org/drawingml/2006/picture">
                      <pic:pic xmlns:pic="http://schemas.openxmlformats.org/drawingml/2006/picture">
                        <pic:nvPicPr>
                          <pic:cNvPr id="149" name="图片_25"/>
                          <pic:cNvPicPr/>
                        </pic:nvPicPr>
                        <pic:blipFill>
                          <a:blip r:embed="rId19"/>
                          <a:stretch>
                            <a:fillRect/>
                          </a:stretch>
                        </pic:blipFill>
                        <pic:spPr>
                          <a:xfrm>
                            <a:off x="0" y="0"/>
                            <a:ext cx="1671320" cy="9956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inline distT="0" distB="0" distL="114300" distR="114300">
                  <wp:extent cx="1436370" cy="966470"/>
                  <wp:effectExtent l="0" t="0" r="11430" b="8890"/>
                  <wp:docPr id="2" name="图片 2" descr="WXWorkLocal_1753320954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XWorkLocal_17533209548468"/>
                          <pic:cNvPicPr>
                            <a:picLocks noChangeAspect="1"/>
                          </pic:cNvPicPr>
                        </pic:nvPicPr>
                        <pic:blipFill>
                          <a:blip r:embed="rId20"/>
                          <a:stretch>
                            <a:fillRect/>
                          </a:stretch>
                        </pic:blipFill>
                        <pic:spPr>
                          <a:xfrm>
                            <a:off x="0" y="0"/>
                            <a:ext cx="1436370" cy="966470"/>
                          </a:xfrm>
                          <a:prstGeom prst="rect">
                            <a:avLst/>
                          </a:prstGeom>
                        </pic:spPr>
                      </pic:pic>
                    </a:graphicData>
                  </a:graphic>
                </wp:inline>
              </w:drawing>
            </w:r>
          </w:p>
        </w:tc>
      </w:tr>
    </w:tbl>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楷体" w:cs="Times New Roman"/>
          <w:sz w:val="32"/>
          <w:szCs w:val="32"/>
          <w:lang w:val="en-US"/>
        </w:rPr>
      </w:pPr>
      <w:r>
        <w:rPr>
          <w:rFonts w:hint="eastAsia" w:ascii="Times New Roman" w:hAnsi="Times New Roman" w:eastAsia="楷体" w:cs="Times New Roman"/>
          <w:kern w:val="2"/>
          <w:sz w:val="32"/>
          <w:szCs w:val="32"/>
          <w:lang w:val="en-US" w:eastAsia="zh-CN" w:bidi="ar"/>
        </w:rPr>
        <w:t>（三）服务原则</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1.</w:t>
      </w:r>
      <w:r>
        <w:rPr>
          <w:rFonts w:hint="eastAsia" w:ascii="Times New Roman" w:hAnsi="Times New Roman" w:eastAsia="仿宋_GB2312" w:cs="Times New Roman"/>
          <w:kern w:val="2"/>
          <w:sz w:val="32"/>
          <w:szCs w:val="32"/>
          <w:lang w:val="en-US" w:eastAsia="zh-CN" w:bidi="ar"/>
        </w:rPr>
        <w:t>应当遵守国家有关法律、法规和有关规定，并应遵循安全、美观的基本原则，在设计与布展中必须贯彻国家、行业和地方有关安全、防火、环保、建筑等现行标准和技术规范。</w:t>
      </w:r>
    </w:p>
    <w:p>
      <w:pPr>
        <w:pStyle w:val="3"/>
        <w:keepNext w:val="0"/>
        <w:keepLines w:val="0"/>
        <w:widowControl/>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0"/>
          <w:sz w:val="32"/>
          <w:szCs w:val="32"/>
          <w:lang w:val="en-US" w:eastAsia="zh-CN" w:bidi="ar"/>
        </w:rPr>
        <w:t>2.供应商制订的实施方案包括但不限于功能定位、展陈特色、参观动线、打卡点布局、质保时间等要素。</w:t>
      </w:r>
      <w:r>
        <w:rPr>
          <w:rFonts w:hint="default" w:ascii="Times New Roman" w:hAnsi="Times New Roman" w:eastAsia="仿宋_GB2312" w:cs="Times New Roman"/>
          <w:kern w:val="2"/>
          <w:sz w:val="32"/>
          <w:szCs w:val="32"/>
          <w:lang w:val="en-US" w:eastAsia="zh-CN" w:bidi="ar"/>
        </w:rPr>
        <w:t>供应商必须严格按照采购方所提供的场地、布局要求进行设计、制作、安装和维护。采购方对供应商提供的版面内容有权提出修改意见，供应商应根据采购方的要求修改设计方案，并不得因此增加结算费用。</w:t>
      </w:r>
    </w:p>
    <w:p>
      <w:pPr>
        <w:pStyle w:val="3"/>
        <w:keepNext w:val="0"/>
        <w:keepLines w:val="0"/>
        <w:widowControl/>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bidi="ar"/>
        </w:rPr>
        <w:t>3.项目布展正式制作前，供应商应向采购方提交设计定稿，</w:t>
      </w:r>
    </w:p>
    <w:p>
      <w:pPr>
        <w:pStyle w:val="3"/>
        <w:keepNext w:val="0"/>
        <w:keepLines w:val="0"/>
        <w:widowControl/>
        <w:suppressLineNumbers w:val="0"/>
        <w:spacing w:before="0" w:beforeAutospacing="0" w:after="0" w:afterAutospacing="0" w:line="600" w:lineRule="exact"/>
        <w:ind w:left="0" w:right="0"/>
        <w:jc w:val="both"/>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bidi="ar"/>
        </w:rPr>
        <w:t>采购方可要求供应商提供设计实景效果图。</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4.</w:t>
      </w:r>
      <w:r>
        <w:rPr>
          <w:rFonts w:hint="eastAsia" w:ascii="Times New Roman" w:hAnsi="Times New Roman" w:eastAsia="仿宋_GB2312" w:cs="Times New Roman"/>
          <w:kern w:val="2"/>
          <w:sz w:val="32"/>
          <w:szCs w:val="32"/>
          <w:lang w:val="en-US" w:eastAsia="zh-CN" w:bidi="ar"/>
        </w:rPr>
        <w:t>必须确保建筑物原有安全性、整体性，不得任意改变建筑物的承重结构，不得破坏建筑物外立面。确保整体设计布展材料、设备、设施的安全性和项目成品符合户外使用安全、环保、防雨、防晒耐久的特性。</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5.</w:t>
      </w:r>
      <w:r>
        <w:rPr>
          <w:rFonts w:hint="eastAsia" w:ascii="Times New Roman" w:hAnsi="Times New Roman" w:eastAsia="仿宋_GB2312" w:cs="Times New Roman"/>
          <w:kern w:val="2"/>
          <w:sz w:val="32"/>
          <w:szCs w:val="32"/>
          <w:lang w:val="en-US" w:eastAsia="zh-CN" w:bidi="ar"/>
        </w:rPr>
        <w:t>材料质量应符合产品有关国家、行业或制造厂家企业标准，上述标准不一致的，应适用最严格的质量标准。</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6.</w:t>
      </w:r>
      <w:r>
        <w:rPr>
          <w:rFonts w:hint="eastAsia" w:ascii="Times New Roman" w:hAnsi="Times New Roman" w:eastAsia="仿宋_GB2312" w:cs="Times New Roman"/>
          <w:kern w:val="2"/>
          <w:sz w:val="32"/>
          <w:szCs w:val="32"/>
          <w:lang w:val="en-US" w:eastAsia="zh-CN" w:bidi="ar"/>
        </w:rPr>
        <w:t>项目制作完成之后，需要通过采购人的书面验收。空间位置安排是否合理；版面文字、图片是否正确；版面是否清晰、色调正常；版面是否能完整清晰体现展览内容；其他内容与合同条款是否一致。</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kern w:val="2"/>
          <w:sz w:val="32"/>
          <w:szCs w:val="32"/>
          <w:lang w:val="en-US" w:eastAsia="zh-CN" w:bidi="ar"/>
        </w:rPr>
        <w:t>7.</w:t>
      </w:r>
      <w:r>
        <w:rPr>
          <w:rFonts w:hint="eastAsia" w:ascii="Times New Roman" w:hAnsi="Times New Roman" w:eastAsia="仿宋_GB2312" w:cs="Times New Roman"/>
          <w:kern w:val="2"/>
          <w:sz w:val="32"/>
          <w:szCs w:val="32"/>
          <w:lang w:val="en-US" w:eastAsia="zh-CN" w:bidi="ar"/>
        </w:rPr>
        <w:t>供应商应当按售后服务承诺履行售后服务。</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黑体" w:cs="Times New Roman"/>
          <w:sz w:val="32"/>
          <w:szCs w:val="32"/>
          <w:lang w:val="en-US"/>
        </w:rPr>
      </w:pPr>
      <w:r>
        <w:rPr>
          <w:rFonts w:hint="eastAsia" w:ascii="Times New Roman" w:hAnsi="Times New Roman" w:eastAsia="黑体" w:cs="Times New Roman"/>
          <w:kern w:val="2"/>
          <w:sz w:val="32"/>
          <w:szCs w:val="32"/>
          <w:lang w:val="en-US" w:eastAsia="zh-CN" w:bidi="ar"/>
        </w:rPr>
        <w:t>五、供应商资格及条件</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eastAsia" w:ascii="Times New Roman" w:hAnsi="Times New Roman" w:eastAsia="仿宋_GB2312" w:cs="Times New Roman"/>
          <w:kern w:val="2"/>
          <w:sz w:val="32"/>
          <w:szCs w:val="32"/>
          <w:lang w:val="en-US" w:eastAsia="zh-CN" w:bidi="ar"/>
        </w:rPr>
        <w:t>（一）在中华人民共和国境内注册的具有独立承担民事责任能力的法人或其他组织。</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需提供相关注册或登记证书复印件并加盖公章</w:t>
      </w:r>
      <w:r>
        <w:rPr>
          <w:rFonts w:hint="default" w:ascii="Times New Roman" w:hAnsi="Times New Roman" w:eastAsia="仿宋_GB2312" w:cs="Times New Roman"/>
          <w:kern w:val="2"/>
          <w:sz w:val="32"/>
          <w:szCs w:val="32"/>
          <w:lang w:val="en-US" w:eastAsia="zh-CN" w:bidi="ar"/>
        </w:rPr>
        <w:t>)</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sz w:val="32"/>
          <w:szCs w:val="32"/>
          <w:lang w:val="en-US"/>
        </w:rPr>
      </w:pPr>
      <w:r>
        <w:rPr>
          <w:rFonts w:hint="eastAsia" w:ascii="Times New Roman" w:hAnsi="Times New Roman" w:eastAsia="仿宋_GB2312" w:cs="Times New Roman"/>
          <w:kern w:val="2"/>
          <w:sz w:val="32"/>
          <w:szCs w:val="32"/>
          <w:lang w:val="en-US" w:eastAsia="zh-CN" w:bidi="ar"/>
        </w:rPr>
        <w:t>（二）具有良好的商业信誉和健全的财务会计制度；有依法缴纳税收和社会保障资金的良好记录；具有履行合同所必需的设备和专业技术能力。</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需提供承诺函或相关证明材料复印件并加盖公章</w:t>
      </w:r>
      <w:r>
        <w:rPr>
          <w:rFonts w:hint="default" w:ascii="Times New Roman" w:hAnsi="Times New Roman" w:eastAsia="仿宋_GB2312" w:cs="Times New Roman"/>
          <w:kern w:val="2"/>
          <w:sz w:val="32"/>
          <w:szCs w:val="32"/>
          <w:lang w:val="en-US" w:eastAsia="zh-CN" w:bidi="ar"/>
        </w:rPr>
        <w:t>)</w:t>
      </w:r>
    </w:p>
    <w:p>
      <w:pPr>
        <w:keepNext w:val="0"/>
        <w:keepLines w:val="0"/>
        <w:widowControl w:val="0"/>
        <w:suppressLineNumbers w:val="0"/>
        <w:spacing w:before="0" w:beforeAutospacing="0" w:after="0" w:afterAutospacing="0" w:line="600" w:lineRule="exact"/>
        <w:ind w:left="0" w:right="0" w:firstLine="640" w:firstLineChars="200"/>
        <w:jc w:val="both"/>
        <w:rPr>
          <w:rFonts w:hint="eastAsia" w:ascii="Times New Roman" w:hAnsi="Times New Roman" w:eastAsia="仿宋_GB2312" w:cs="Times New Roman"/>
          <w:kern w:val="2"/>
          <w:sz w:val="32"/>
          <w:szCs w:val="32"/>
          <w:lang w:val="en-US" w:eastAsia="zh-CN" w:bidi="ar"/>
        </w:rPr>
      </w:pPr>
      <w:r>
        <w:rPr>
          <w:rFonts w:hint="eastAsia" w:ascii="Times New Roman" w:hAnsi="Times New Roman" w:eastAsia="仿宋_GB2312" w:cs="Times New Roman"/>
          <w:kern w:val="2"/>
          <w:sz w:val="32"/>
          <w:szCs w:val="32"/>
          <w:lang w:val="en-US" w:eastAsia="zh-CN" w:bidi="ar"/>
        </w:rPr>
        <w:t>（三）参加采购活动前三年内，在经营活动中没有重大违法记录。未被列入</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信用中国</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网站</w:t>
      </w:r>
      <w:r>
        <w:rPr>
          <w:rFonts w:hint="default" w:ascii="Times New Roman" w:hAnsi="Times New Roman" w:eastAsia="仿宋_GB2312" w:cs="Times New Roman"/>
          <w:kern w:val="2"/>
          <w:sz w:val="32"/>
          <w:szCs w:val="32"/>
          <w:lang w:val="en-US" w:eastAsia="zh-CN" w:bidi="ar"/>
        </w:rPr>
        <w:t>(www.creditchina.gov.cn) “</w:t>
      </w:r>
      <w:r>
        <w:rPr>
          <w:rFonts w:hint="eastAsia" w:ascii="Times New Roman" w:hAnsi="Times New Roman" w:eastAsia="仿宋_GB2312" w:cs="Times New Roman"/>
          <w:kern w:val="2"/>
          <w:sz w:val="32"/>
          <w:szCs w:val="32"/>
          <w:lang w:val="en-US" w:eastAsia="zh-CN" w:bidi="ar"/>
        </w:rPr>
        <w:t>记录失信被执行人或重大税收违法案件当事人名单或政府采购严重违法失信行为</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记录名单，不处于中国政府采购网</w:t>
      </w:r>
      <w:r>
        <w:rPr>
          <w:rFonts w:hint="default" w:ascii="Times New Roman" w:hAnsi="Times New Roman" w:eastAsia="仿宋_GB2312" w:cs="Times New Roman"/>
          <w:kern w:val="2"/>
          <w:sz w:val="32"/>
          <w:szCs w:val="32"/>
          <w:lang w:val="en-US" w:eastAsia="zh-CN" w:bidi="ar"/>
        </w:rPr>
        <w:t>(www.ccgp.gov.cn)“</w:t>
      </w:r>
      <w:r>
        <w:rPr>
          <w:rFonts w:hint="eastAsia" w:ascii="Times New Roman" w:hAnsi="Times New Roman" w:eastAsia="仿宋_GB2312" w:cs="Times New Roman"/>
          <w:kern w:val="2"/>
          <w:sz w:val="32"/>
          <w:szCs w:val="32"/>
          <w:lang w:val="en-US" w:eastAsia="zh-CN" w:bidi="ar"/>
        </w:rPr>
        <w:t>政府采购严重违法失信行为信息记录</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中的禁止参加政府采购活动期间。（需提供网站截图并加盖公章）</w:t>
      </w:r>
    </w:p>
    <w:p>
      <w:pPr>
        <w:pStyle w:val="2"/>
        <w:ind w:firstLine="640" w:firstLineChars="200"/>
        <w:rPr>
          <w:rFonts w:hint="eastAsia" w:ascii="Times New Roman" w:hAnsi="Times New Roman" w:eastAsia="仿宋_GB2312" w:cs="Times New Roman"/>
          <w:color w:val="auto"/>
          <w:kern w:val="2"/>
          <w:sz w:val="32"/>
          <w:szCs w:val="32"/>
          <w:lang w:val="en-US" w:bidi="ar"/>
        </w:rPr>
      </w:pPr>
      <w:r>
        <w:rPr>
          <w:rFonts w:hint="eastAsia" w:ascii="Times New Roman" w:hAnsi="Times New Roman" w:eastAsia="仿宋_GB2312" w:cs="Times New Roman"/>
          <w:color w:val="auto"/>
          <w:kern w:val="2"/>
          <w:sz w:val="32"/>
          <w:szCs w:val="32"/>
          <w:lang w:val="en-US" w:eastAsia="zh-CN" w:bidi="ar"/>
        </w:rPr>
        <w:t>（四）</w:t>
      </w:r>
      <w:r>
        <w:rPr>
          <w:rFonts w:hint="eastAsia" w:ascii="Times New Roman" w:hAnsi="Times New Roman" w:eastAsia="仿宋_GB2312" w:cs="Times New Roman"/>
          <w:color w:val="auto"/>
          <w:kern w:val="2"/>
          <w:sz w:val="32"/>
          <w:szCs w:val="32"/>
          <w:lang w:val="en-US" w:bidi="ar"/>
        </w:rPr>
        <w:t>法定代表人或单位负责人为同一人或者存在直接控股、管理关系的不同供应商，不得参加同一</w:t>
      </w:r>
      <w:r>
        <w:rPr>
          <w:rFonts w:hint="eastAsia" w:ascii="Times New Roman" w:hAnsi="Times New Roman" w:eastAsia="仿宋_GB2312" w:cs="Times New Roman"/>
          <w:color w:val="auto"/>
          <w:kern w:val="2"/>
          <w:sz w:val="32"/>
          <w:szCs w:val="32"/>
          <w:lang w:val="en-US" w:eastAsia="zh-CN" w:bidi="ar"/>
        </w:rPr>
        <w:t>项目</w:t>
      </w:r>
      <w:r>
        <w:rPr>
          <w:rFonts w:hint="eastAsia" w:ascii="Times New Roman" w:hAnsi="Times New Roman" w:eastAsia="仿宋_GB2312" w:cs="Times New Roman"/>
          <w:color w:val="auto"/>
          <w:kern w:val="2"/>
          <w:sz w:val="32"/>
          <w:szCs w:val="32"/>
          <w:lang w:val="en-US" w:bidi="ar"/>
        </w:rPr>
        <w:t>的政府采购活动</w:t>
      </w:r>
      <w:r>
        <w:rPr>
          <w:rFonts w:hint="eastAsia" w:ascii="Times New Roman" w:hAnsi="Times New Roman" w:eastAsia="仿宋_GB2312" w:cs="Times New Roman"/>
          <w:color w:val="auto"/>
          <w:kern w:val="2"/>
          <w:sz w:val="32"/>
          <w:szCs w:val="32"/>
          <w:lang w:val="en-US" w:eastAsia="zh-CN" w:bidi="ar"/>
        </w:rPr>
        <w:t>。</w:t>
      </w:r>
    </w:p>
    <w:p>
      <w:pPr>
        <w:keepNext w:val="0"/>
        <w:keepLines w:val="0"/>
        <w:widowControl w:val="0"/>
        <w:suppressLineNumbers w:val="0"/>
        <w:spacing w:before="0" w:beforeAutospacing="0" w:after="0" w:afterAutospacing="0" w:line="600" w:lineRule="exact"/>
        <w:ind w:left="0" w:right="0" w:firstLine="640" w:firstLineChars="200"/>
        <w:jc w:val="both"/>
        <w:rPr>
          <w:rFonts w:hint="eastAsia" w:ascii="Times New Roman" w:hAnsi="Times New Roman" w:eastAsia="仿宋_GB2312" w:cs="Times New Roman"/>
          <w:color w:val="auto"/>
          <w:kern w:val="2"/>
          <w:sz w:val="32"/>
          <w:szCs w:val="32"/>
          <w:lang w:val="en-US" w:eastAsia="zh-CN" w:bidi="ar"/>
        </w:rPr>
      </w:pPr>
      <w:r>
        <w:rPr>
          <w:rFonts w:hint="eastAsia" w:ascii="Times New Roman" w:hAnsi="Times New Roman" w:eastAsia="仿宋_GB2312" w:cs="Times New Roman"/>
          <w:color w:val="auto"/>
          <w:kern w:val="2"/>
          <w:sz w:val="32"/>
          <w:szCs w:val="32"/>
          <w:lang w:val="en-US" w:eastAsia="zh-CN" w:bidi="ar"/>
        </w:rPr>
        <w:t>（五）不接受联合体投标。</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8C73BF"/>
    <w:rsid w:val="635B2237"/>
    <w:rsid w:val="678C7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3">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4"/>
    </w:rPr>
  </w:style>
  <w:style w:type="character" w:customStyle="1" w:styleId="6">
    <w:name w:val="font71"/>
    <w:basedOn w:val="5"/>
    <w:qFormat/>
    <w:uiPriority w:val="0"/>
    <w:rPr>
      <w:rFonts w:hint="eastAsia" w:ascii="微软雅黑" w:hAnsi="微软雅黑" w:eastAsia="微软雅黑" w:cs="微软雅黑"/>
      <w:color w:val="FF0000"/>
      <w:sz w:val="18"/>
      <w:szCs w:val="18"/>
      <w:u w:val="none"/>
    </w:rPr>
  </w:style>
  <w:style w:type="character" w:customStyle="1" w:styleId="7">
    <w:name w:val="font61"/>
    <w:basedOn w:val="5"/>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区民政局</Company>
  <Pages>1</Pages>
  <Words>0</Words>
  <Characters>0</Characters>
  <Lines>0</Lines>
  <Paragraphs>0</Paragraphs>
  <TotalTime>0</TotalTime>
  <ScaleCrop>false</ScaleCrop>
  <LinksUpToDate>false</LinksUpToDate>
  <CharactersWithSpaces>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2025-07-28T08:22:00Z</dcterms:created>
  <dc:creator>区民政局</dc:creator>
  <cp:lastModifiedBy>区民政局</cp:lastModifiedBy>
  <dcterms:modified xsi:type="dcterms:W3CDTF">2025-07-29T08:13:15Z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