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560" w:lineRule="exact"/>
        <w:ind w:firstLine="64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项目评分表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b/>
          <w:bCs/>
          <w:sz w:val="24"/>
        </w:rPr>
      </w:pPr>
    </w:p>
    <w:p>
      <w:pPr>
        <w:spacing w:line="76" w:lineRule="exact"/>
        <w:rPr>
          <w:rFonts w:ascii="宋体" w:hAnsi="宋体" w:eastAsia="宋体" w:cs="宋体"/>
          <w:sz w:val="24"/>
        </w:rPr>
      </w:pPr>
    </w:p>
    <w:tbl>
      <w:tblPr>
        <w:tblStyle w:val="16"/>
        <w:tblW w:w="506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165"/>
        <w:gridCol w:w="6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Header/>
        </w:trPr>
        <w:tc>
          <w:tcPr>
            <w:tcW w:w="69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40"/>
              <w:contextualSpacing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pacing w:val="7"/>
                <w:sz w:val="22"/>
                <w:szCs w:val="22"/>
              </w:rPr>
              <w:t>评审因素</w:t>
            </w:r>
          </w:p>
        </w:tc>
        <w:tc>
          <w:tcPr>
            <w:tcW w:w="4300" w:type="pct"/>
            <w:gridSpan w:val="2"/>
            <w:vAlign w:val="center"/>
          </w:tcPr>
          <w:p>
            <w:pPr>
              <w:pStyle w:val="17"/>
              <w:spacing w:before="100" w:beforeAutospacing="1" w:after="100" w:afterAutospacing="1"/>
              <w:ind w:left="4128"/>
              <w:contextualSpacing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pacing w:val="7"/>
                <w:sz w:val="22"/>
                <w:szCs w:val="22"/>
              </w:rPr>
              <w:t>评审标准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99" w:type="pct"/>
            <w:vAlign w:val="center"/>
          </w:tcPr>
          <w:p>
            <w:pPr>
              <w:pStyle w:val="17"/>
              <w:spacing w:before="100" w:beforeAutospacing="1" w:after="100" w:afterAutospacing="1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6"/>
                <w:sz w:val="22"/>
                <w:szCs w:val="22"/>
              </w:rPr>
              <w:t>分值构成</w:t>
            </w:r>
          </w:p>
        </w:tc>
        <w:tc>
          <w:tcPr>
            <w:tcW w:w="4300" w:type="pct"/>
            <w:gridSpan w:val="2"/>
            <w:vAlign w:val="center"/>
          </w:tcPr>
          <w:p>
            <w:pPr>
              <w:pStyle w:val="17"/>
              <w:spacing w:before="100" w:beforeAutospacing="1" w:after="100" w:afterAutospacing="1"/>
              <w:ind w:left="110"/>
              <w:contextualSpacing/>
              <w:rPr>
                <w:rFonts w:hint="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商务部分40.0分</w:t>
            </w:r>
          </w:p>
          <w:p>
            <w:pPr>
              <w:pStyle w:val="17"/>
              <w:spacing w:before="100" w:beforeAutospacing="1" w:after="100" w:afterAutospacing="1"/>
              <w:ind w:left="110"/>
              <w:contextualSpacing/>
              <w:rPr>
                <w:rFonts w:hint="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技术部分50.0分</w:t>
            </w:r>
          </w:p>
          <w:p>
            <w:pPr>
              <w:pStyle w:val="17"/>
              <w:spacing w:before="100" w:beforeAutospacing="1" w:after="100" w:afterAutospacing="1"/>
              <w:ind w:left="110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报价得分10.0分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699" w:type="pct"/>
            <w:vMerge w:val="restar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商务部分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（40分）</w:t>
            </w: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同类项目业绩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（10.0分）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投标人自2020年1月1日以来（以合同签订时间为准）承接过咨询类项目的，每提供一项业绩得1分，最高得10分。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注：须提供中标（成交）通知书或合同甲方盖章的免招标证明、合同关键页（合同关键页必须体现主要采购内容、签订合同双方的落款盖章、合同签订日期），不提供或提供不全的不得分。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699" w:type="pct"/>
            <w:vMerge w:val="continue"/>
            <w:vAlign w:val="center"/>
          </w:tcPr>
          <w:p>
            <w:pPr>
              <w:spacing w:before="100" w:beforeAutospacing="1" w:after="100" w:afterAutospacing="1"/>
              <w:contextualSpacing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企业实力</w:t>
            </w:r>
          </w:p>
          <w:p>
            <w:pPr>
              <w:pStyle w:val="17"/>
              <w:spacing w:before="100" w:beforeAutospacing="1" w:after="100" w:afterAutospacing="1"/>
              <w:ind w:left="11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（18.0分）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1.2020年1月1日至今，投标人为政府部门工作站或合作机构，每个得4分，最高8分，没有的不得分；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2.具有自主研发数据系统（如企业数据库、行业数据库、政策数据库等）且取得著作权的，每提供1个得1分，最高10分，没有的不得分。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注：须提供相关证明材料复印件加盖供应商公章作为评审依据，不提供不得分。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699" w:type="pct"/>
            <w:vMerge w:val="continue"/>
            <w:vAlign w:val="center"/>
          </w:tcPr>
          <w:p>
            <w:pPr>
              <w:spacing w:before="100" w:beforeAutospacing="1" w:after="100" w:afterAutospacing="1"/>
              <w:contextualSpacing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拟投入本项目技术人员（12.0分）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1.投标人拟投入的项目负责人拥有硕士研究生（或以上）学历，得2分；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2.拟投入本项目其他人员具有硕士研究生（或以上）学历，每提供1人得2分，最多得10分；具有本科学历，每提供1人得0.5分，最多得5分；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注：须同时提供学历证书复印件（加盖供应商公章）及投标截止前6个月内任意一个月在供应商单位购买社保的证明文件复印件（加盖供应商公章）作为评审依据，不提供不得分。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</w:trPr>
        <w:tc>
          <w:tcPr>
            <w:tcW w:w="699" w:type="pct"/>
            <w:vMerge w:val="restar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技术部分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（50分）</w:t>
            </w: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对项目的解读和理解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（12.0分）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根据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投标人</w:t>
            </w:r>
            <w:r>
              <w:rPr>
                <w:color w:val="auto"/>
                <w:sz w:val="22"/>
                <w:szCs w:val="22"/>
                <w:lang w:eastAsia="zh-CN"/>
              </w:rPr>
              <w:t>对项目和现行政策的解读和理解，进行评审：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（1）对项目背景、工作目的、目标及工作内容、工作重点、难点的理解和认识深刻透切，在系统性和可操作性等方面科学合理，得12分；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（2）对项目背景、工作目的、目标及工作内容、工作重点、难点的理解和认识较透切，在系统性和可操作性等方面较合理，得9分；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（3）对项目背景、工作目的、目标及工作内容、工作重点、难点的理解和认识较粗略，在系统性和可操作性等方面一般，得6分；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（4）对项目背景、工作目的、目标及工作内容、工作重点、难点的理解和认识较差，在系统性和可操作性等方面较差，得3分；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hint="eastAsia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（5）没有提供得0分。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99" w:type="pct"/>
            <w:vMerge w:val="continue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工作思路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（15.0分）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根据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投标人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提供的工作思路是否科学、合理、可行、优化、详尽，以及响应用户需求的程度、组织机构完善程度、是否制订管理质量控制措施、是否作出违约责任承诺、是否制定进度计划安排进行评审：</w:t>
            </w:r>
          </w:p>
          <w:p>
            <w:pPr>
              <w:pStyle w:val="17"/>
              <w:numPr>
                <w:ilvl w:val="0"/>
                <w:numId w:val="1"/>
              </w:numPr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对项目工作思路解读的情况深刻透切，描述详细且合理，得15分；</w:t>
            </w:r>
          </w:p>
          <w:p>
            <w:pPr>
              <w:pStyle w:val="17"/>
              <w:numPr>
                <w:ilvl w:val="0"/>
                <w:numId w:val="1"/>
              </w:numPr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对项目工作思路解读的情况较透切，描述完整且比较合理，得10分；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（3）对项目工作思路解读的情况较粗略，描述一般，得8分；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（4）对项目工作思路解读的情况较差，描述较差，得5分；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（5）没有提供得0分。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5" w:hRule="atLeast"/>
        </w:trPr>
        <w:tc>
          <w:tcPr>
            <w:tcW w:w="699" w:type="pct"/>
            <w:vMerge w:val="continue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研究方法及技术路线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（13.0分）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根据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投标人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对项目的研究方法和技术路线分析进行评审：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（1）项目的研究方法和技术路线分析全面，切实可行，得13分；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（2）项目的研究方法和技术路线分析较好，可行性较高，得8分；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（3）项目的研究方法和技术路线分析一般，可行性一般，得6分；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（4）项目的研究方法和技术路线分析不准确，可行性差，得4分；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（5）没有提供得0分。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699" w:type="pct"/>
            <w:vMerge w:val="continue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进度计划和保障措施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（5.0分）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（1）项目进度计划科学合理，保证措施合理、可行性强，得5分；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（2）项目进度计划基本合理，保证措施基本合理、可行性一般，得3分；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（3）项目进度计划、保证措施较差，得1分；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（4）没有提供得0分。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699" w:type="pct"/>
            <w:vMerge w:val="continue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服务措施及服务承诺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（5.0分）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（1）服务承诺详细完善、服务可行性高、便利性，得5分；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（2）服务承诺较完善、服务可行性、便利性一般，得3分；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（3）服务承诺较差、服务可行性、便利性较差，得1分；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（4）无提供得0分。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69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投标报价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（10分）</w:t>
            </w:r>
          </w:p>
        </w:tc>
        <w:tc>
          <w:tcPr>
            <w:tcW w:w="691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投标报价得分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（10.0分）</w:t>
            </w:r>
          </w:p>
        </w:tc>
        <w:tc>
          <w:tcPr>
            <w:tcW w:w="3609" w:type="pct"/>
            <w:vAlign w:val="center"/>
          </w:tcPr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报价得分＝（基准价/最后报价）×10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（注：满足要求且最后报价最低的为评标基准价）最低报价不是中标的唯一依据。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备注：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（1）因落实政府采购政策进行价格调整的，以调整后的价格计算评标基准报价；</w:t>
            </w:r>
          </w:p>
          <w:p>
            <w:pPr>
              <w:pStyle w:val="17"/>
              <w:spacing w:before="100" w:beforeAutospacing="1" w:after="100" w:afterAutospacing="1"/>
              <w:ind w:left="114" w:right="105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（2）报价得分四舍五入后，小数点后保留两位有效数。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9DF9B-554E-4493-8A1F-CD4C8EF218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D5876FA-6DE7-4CFF-AA35-D5626FDE6DB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E26474-8F9B-4718-844F-78DF68079E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09" w:lineRule="auto"/>
      <w:ind w:left="4748"/>
      <w:rPr>
        <w:sz w:val="18"/>
        <w:szCs w:val="18"/>
      </w:rPr>
    </w:pPr>
    <w:r>
      <w:rPr>
        <w:sz w:val="18"/>
      </w:rPr>
      <w:pict>
        <v:shape id="文本框 132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>第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t>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FB8C"/>
    <w:multiLevelType w:val="singleLevel"/>
    <w:tmpl w:val="D846FB8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NDNkNjhmZDU2YTFiMjBjZTQ3ZDZiMTc1YzQyYzYifQ=="/>
  </w:docVars>
  <w:rsids>
    <w:rsidRoot w:val="00640CD6"/>
    <w:rsid w:val="000B1D63"/>
    <w:rsid w:val="001345E2"/>
    <w:rsid w:val="00156AB3"/>
    <w:rsid w:val="001D3146"/>
    <w:rsid w:val="002D721C"/>
    <w:rsid w:val="002D7800"/>
    <w:rsid w:val="003D7788"/>
    <w:rsid w:val="00412C59"/>
    <w:rsid w:val="0047454B"/>
    <w:rsid w:val="00546DE8"/>
    <w:rsid w:val="005B6E80"/>
    <w:rsid w:val="005C0A4A"/>
    <w:rsid w:val="00640CD6"/>
    <w:rsid w:val="00652B7F"/>
    <w:rsid w:val="006D1A83"/>
    <w:rsid w:val="00831181"/>
    <w:rsid w:val="008921CA"/>
    <w:rsid w:val="00926650"/>
    <w:rsid w:val="00A17872"/>
    <w:rsid w:val="00A245B1"/>
    <w:rsid w:val="00A4055B"/>
    <w:rsid w:val="00B25218"/>
    <w:rsid w:val="00B94FA1"/>
    <w:rsid w:val="00C728D2"/>
    <w:rsid w:val="00D72E87"/>
    <w:rsid w:val="00DD2193"/>
    <w:rsid w:val="00DF694D"/>
    <w:rsid w:val="00EC4FFB"/>
    <w:rsid w:val="00FB2F78"/>
    <w:rsid w:val="045126D0"/>
    <w:rsid w:val="104A674C"/>
    <w:rsid w:val="13D34EB0"/>
    <w:rsid w:val="17E566A7"/>
    <w:rsid w:val="1BCA2D8B"/>
    <w:rsid w:val="25997896"/>
    <w:rsid w:val="26133104"/>
    <w:rsid w:val="283E1E92"/>
    <w:rsid w:val="2883222D"/>
    <w:rsid w:val="2B775383"/>
    <w:rsid w:val="2EB12439"/>
    <w:rsid w:val="3199108F"/>
    <w:rsid w:val="33846783"/>
    <w:rsid w:val="34A9783B"/>
    <w:rsid w:val="3A130E7B"/>
    <w:rsid w:val="3A246BA1"/>
    <w:rsid w:val="3E4C2E3A"/>
    <w:rsid w:val="403F743A"/>
    <w:rsid w:val="42475DED"/>
    <w:rsid w:val="4AE208F9"/>
    <w:rsid w:val="508B68D6"/>
    <w:rsid w:val="59231355"/>
    <w:rsid w:val="5AA01070"/>
    <w:rsid w:val="5AEF6FF5"/>
    <w:rsid w:val="5C353DCE"/>
    <w:rsid w:val="5C6D2B77"/>
    <w:rsid w:val="5DBE12CC"/>
    <w:rsid w:val="5F6D12E1"/>
    <w:rsid w:val="642B5732"/>
    <w:rsid w:val="6BE272A9"/>
    <w:rsid w:val="6C3D207D"/>
    <w:rsid w:val="6CF25597"/>
    <w:rsid w:val="72AE5A41"/>
    <w:rsid w:val="77822FF8"/>
    <w:rsid w:val="787A7BB2"/>
    <w:rsid w:val="7C69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1"/>
    <w:qFormat/>
    <w:uiPriority w:val="0"/>
    <w:pPr>
      <w:keepNext/>
      <w:keepLines/>
      <w:spacing w:before="340" w:after="330" w:line="560" w:lineRule="exact"/>
    </w:pPr>
    <w:rPr>
      <w:rFonts w:ascii="Times New Roman" w:hAnsi="Times New Roman" w:eastAsia="方正小标宋_GBK"/>
      <w:b w:val="0"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link w:val="14"/>
    <w:qFormat/>
    <w:uiPriority w:val="0"/>
    <w:pPr>
      <w:spacing w:after="12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2"/>
    <w:qFormat/>
    <w:uiPriority w:val="0"/>
    <w:rPr>
      <w:rFonts w:ascii="Times New Roman" w:hAnsi="Times New Roman" w:eastAsia="方正小标宋_GBK"/>
      <w:b/>
      <w:kern w:val="44"/>
      <w:sz w:val="44"/>
      <w:szCs w:val="44"/>
    </w:rPr>
  </w:style>
  <w:style w:type="paragraph" w:customStyle="1" w:styleId="12">
    <w:name w:val="样式1"/>
    <w:basedOn w:val="1"/>
    <w:qFormat/>
    <w:uiPriority w:val="0"/>
    <w:pPr>
      <w:spacing w:line="600" w:lineRule="exact"/>
      <w:ind w:firstLine="440" w:firstLineChars="200"/>
    </w:pPr>
    <w:rPr>
      <w:rFonts w:ascii="Times New Roman" w:hAnsi="Times New Roman" w:eastAsia="仿宋_GB2312"/>
      <w:sz w:val="32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正文文本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15">
    <w:name w:val="页脚 字符"/>
    <w:basedOn w:val="10"/>
    <w:link w:val="5"/>
    <w:qFormat/>
    <w:uiPriority w:val="0"/>
    <w:rPr>
      <w:kern w:val="2"/>
      <w:sz w:val="18"/>
      <w:szCs w:val="24"/>
    </w:rPr>
  </w:style>
  <w:style w:type="table" w:customStyle="1" w:styleId="16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1531</Words>
  <Characters>1590</Characters>
  <Lines>11</Lines>
  <Paragraphs>3</Paragraphs>
  <TotalTime>28</TotalTime>
  <ScaleCrop>false</ScaleCrop>
  <LinksUpToDate>false</LinksUpToDate>
  <CharactersWithSpaces>1590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2025-05-08T08:13:00Z</dcterms:created>
  <dc:creator>Administrator</dc:creator>
  <cp:lastModifiedBy>天河区发展改革局收发岗</cp:lastModifiedBy>
  <dcterms:modified xsi:type="dcterms:W3CDTF">2025-05-12T01:31:27Z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86B64E151A7B4007A1D2A692BD9687AA</vt:lpwstr>
  </property>
  <property fmtid="{D5CDD505-2E9C-101B-9397-08002B2CF9AE}" pid="4" name="KSOTemplateDocerSaveRecord">
    <vt:lpwstr>eyJoZGlkIjoiZTNiMmJjMGUyMDNhMGI0MjllZTc4OTE3ODRjOTBjMWQiLCJ1c2VySWQiOiI0NzE2ODk5OTMifQ==</vt:lpwstr>
  </property>
</Properties>
</file>