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附件1：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综合评分表</w:t>
      </w:r>
    </w:p>
    <w:p>
      <w:pPr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</w:t>
      </w:r>
      <w:r>
        <w:rPr>
          <w:rFonts w:ascii="宋体" w:hAnsi="宋体"/>
          <w:b/>
          <w:bCs/>
          <w:sz w:val="36"/>
          <w:szCs w:val="36"/>
        </w:rPr>
        <w:t>名称：</w:t>
      </w:r>
    </w:p>
    <w:p>
      <w:pPr>
        <w:snapToGrid w:val="0"/>
        <w:spacing w:line="300" w:lineRule="auto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评分标准表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918"/>
        <w:gridCol w:w="918"/>
        <w:gridCol w:w="1215"/>
        <w:gridCol w:w="3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项目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基础分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分项内容</w:t>
            </w:r>
          </w:p>
        </w:tc>
        <w:tc>
          <w:tcPr>
            <w:tcW w:w="39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总计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宋体" w:cs="宋体"/>
                <w:szCs w:val="21"/>
                <w:lang w:bidi="ar"/>
              </w:rPr>
            </w:pPr>
            <w:r>
              <w:rPr>
                <w:rFonts w:hint="eastAsia" w:ascii="Calibri" w:hAnsi="宋体" w:cs="宋体"/>
                <w:szCs w:val="21"/>
                <w:lang w:bidi="ar"/>
              </w:rPr>
              <w:t>单项</w:t>
            </w:r>
          </w:p>
        </w:tc>
        <w:tc>
          <w:tcPr>
            <w:tcW w:w="1194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3920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862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1256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4172" w:type="dxa"/>
            <w:vMerge w:val="continue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125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  <w:tc>
          <w:tcPr>
            <w:tcW w:w="417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资信证明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2" w:type="dxa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2" w:type="dxa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2" w:type="dxa"/>
            <w:noWrap w:val="0"/>
            <w:vAlign w:val="top"/>
          </w:tcPr>
          <w:p>
            <w:pPr>
              <w:rPr>
                <w:rFonts w:hint="eastAsia"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2" w:type="dxa"/>
            <w:noWrap w:val="0"/>
            <w:vAlign w:val="top"/>
          </w:tcPr>
          <w:p>
            <w:pPr>
              <w:rPr>
                <w:rFonts w:hint="eastAsia"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top"/>
          </w:tcPr>
          <w:p>
            <w:pPr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top"/>
          </w:tcPr>
          <w:p>
            <w:pPr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top"/>
          </w:tcPr>
          <w:p>
            <w:pPr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top"/>
          </w:tcPr>
          <w:p>
            <w:pPr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top"/>
          </w:tcPr>
          <w:p>
            <w:pPr>
              <w:rPr>
                <w:rFonts w:hint="eastAsia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投标报价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Calibri" w:hAnsi="宋体" w:cs="宋体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noWrap w:val="0"/>
            <w:vAlign w:val="top"/>
          </w:tcPr>
          <w:p>
            <w:pPr>
              <w:rPr>
                <w:rFonts w:ascii="Calibri" w:hAnsi="宋体" w:cs="宋体"/>
                <w:szCs w:val="21"/>
                <w:lang w:bidi="ar"/>
              </w:rPr>
            </w:pPr>
          </w:p>
        </w:tc>
      </w:tr>
    </w:tbl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注：1、评委按分项的规定分数范围内给各投标人进行打分，并统计总分。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2、业绩均需提供中标通知书或服务合同等有效证明文件。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B1A96"/>
    <w:rsid w:val="04E93DC3"/>
    <w:rsid w:val="5C7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542"/>
    </w:pPr>
    <w:rPr>
      <w:rFonts w:ascii="Times New Roman" w:hAnsi="Times New Roman" w:eastAsia="宋体" w:cs="Times New Roman"/>
    </w:rPr>
  </w:style>
  <w:style w:type="paragraph" w:styleId="3">
    <w:name w:val="toc 4"/>
    <w:next w:val="1"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2025-02-13T02:47:00Z</dcterms:created>
  <dc:creator>潘泓瀚</dc:creator>
  <cp:lastModifiedBy>潘泓瀚</cp:lastModifiedBy>
  <dcterms:modified xsi:type="dcterms:W3CDTF">2025-02-13T02:48:23Z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D4B0FCB9EE9A4984BA4E80E16BF773AE</vt:lpwstr>
  </property>
</Properties>
</file>