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rPr>
          <w:rFonts w:ascii="Times New Roman" w:hAnsi="Times New Roman" w:eastAsia="黑体"/>
          <w:sz w:val="32"/>
          <w:szCs w:val="32"/>
        </w:rPr>
      </w:pPr>
      <w:r>
        <w:rPr>
          <w:rFonts w:ascii="Times New Roman" w:hAnsi="Times New Roman" w:eastAsia="黑体"/>
          <w:sz w:val="32"/>
          <w:szCs w:val="32"/>
          <w:lang w:val="zh-CN"/>
        </w:rPr>
        <w:t>附件</w:t>
      </w:r>
    </w:p>
    <w:p>
      <w:pPr>
        <w:autoSpaceDE w:val="0"/>
        <w:autoSpaceDN w:val="0"/>
        <w:adjustRightInd w:val="0"/>
        <w:spacing w:line="560" w:lineRule="exact"/>
        <w:jc w:val="center"/>
        <w:rPr>
          <w:rFonts w:ascii="Times New Roman" w:hAnsi="Times New Roman" w:eastAsia="仿宋_GB2312"/>
          <w:sz w:val="44"/>
          <w:szCs w:val="44"/>
        </w:rPr>
      </w:pPr>
      <w:bookmarkStart w:id="0" w:name="_GoBack"/>
      <w:r>
        <w:rPr>
          <w:rFonts w:ascii="Times New Roman" w:hAnsi="Times New Roman" w:eastAsia="仿宋_GB2312"/>
          <w:sz w:val="44"/>
          <w:szCs w:val="44"/>
          <w:lang w:val="zh-CN"/>
        </w:rPr>
        <w:t>广州市工程招标核准意见表</w:t>
      </w:r>
      <w:bookmarkEnd w:id="0"/>
    </w:p>
    <w:p>
      <w:pPr>
        <w:autoSpaceDE w:val="0"/>
        <w:autoSpaceDN w:val="0"/>
        <w:adjustRightInd w:val="0"/>
        <w:spacing w:line="560" w:lineRule="exact"/>
        <w:jc w:val="center"/>
        <w:rPr>
          <w:rFonts w:ascii="Times New Roman" w:hAnsi="Times New Roman" w:eastAsia="仿宋_GB2312"/>
          <w:sz w:val="32"/>
          <w:szCs w:val="32"/>
        </w:rPr>
      </w:pPr>
    </w:p>
    <w:p>
      <w:pPr>
        <w:pStyle w:val="4"/>
        <w:spacing w:line="560" w:lineRule="exact"/>
        <w:rPr>
          <w:rFonts w:ascii="Times New Roman" w:hAnsi="Times New Roman" w:eastAsia="仿宋_GB2312"/>
          <w:b w:val="0"/>
          <w:bCs w:val="0"/>
          <w:sz w:val="24"/>
          <w:szCs w:val="21"/>
        </w:rPr>
      </w:pPr>
      <w:r>
        <w:rPr>
          <w:rFonts w:ascii="Times New Roman" w:hAnsi="Times New Roman" w:eastAsia="仿宋_GB2312"/>
          <w:b w:val="0"/>
          <w:bCs w:val="0"/>
          <w:sz w:val="24"/>
          <w:szCs w:val="21"/>
        </w:rPr>
        <w:t>建设项目名称：</w:t>
      </w:r>
      <w:r>
        <w:rPr>
          <w:rFonts w:hint="eastAsia" w:ascii="Times New Roman" w:hAnsi="Times New Roman" w:eastAsia="仿宋_GB2312"/>
          <w:b w:val="0"/>
          <w:bCs w:val="0"/>
          <w:sz w:val="24"/>
          <w:szCs w:val="21"/>
        </w:rPr>
        <w:t>广东省奥林匹克体育中心周边区域市政设施功能完善和品质提升工程</w:t>
      </w:r>
    </w:p>
    <w:tbl>
      <w:tblPr>
        <w:tblStyle w:val="5"/>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084"/>
        <w:gridCol w:w="1085"/>
        <w:gridCol w:w="1083"/>
        <w:gridCol w:w="1085"/>
        <w:gridCol w:w="1084"/>
        <w:gridCol w:w="1085"/>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45"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2169"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招标范围</w:t>
            </w:r>
          </w:p>
        </w:tc>
        <w:tc>
          <w:tcPr>
            <w:tcW w:w="216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招标组织形式</w:t>
            </w:r>
          </w:p>
        </w:tc>
        <w:tc>
          <w:tcPr>
            <w:tcW w:w="2169"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招标方式</w:t>
            </w:r>
          </w:p>
        </w:tc>
        <w:tc>
          <w:tcPr>
            <w:tcW w:w="1354" w:type="dxa"/>
            <w:vMerge w:val="restar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不采用</w:t>
            </w:r>
          </w:p>
          <w:p>
            <w:pPr>
              <w:spacing w:line="560" w:lineRule="exact"/>
              <w:jc w:val="center"/>
              <w:rPr>
                <w:rFonts w:ascii="Times New Roman" w:hAnsi="Times New Roman" w:eastAsia="仿宋_GB2312"/>
                <w:sz w:val="24"/>
              </w:rPr>
            </w:pPr>
            <w:r>
              <w:rPr>
                <w:rFonts w:ascii="Times New Roman" w:hAnsi="Times New Roman" w:eastAsia="仿宋_GB2312"/>
                <w:sz w:val="24"/>
              </w:rPr>
              <w:t>招标方式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sz w:val="24"/>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全部</w:t>
            </w:r>
          </w:p>
          <w:p>
            <w:pPr>
              <w:spacing w:line="560" w:lineRule="exact"/>
              <w:jc w:val="center"/>
              <w:rPr>
                <w:rFonts w:ascii="Times New Roman" w:hAnsi="Times New Roman" w:eastAsia="仿宋_GB2312"/>
                <w:sz w:val="24"/>
              </w:rPr>
            </w:pPr>
            <w:r>
              <w:rPr>
                <w:rFonts w:ascii="Times New Roman" w:hAnsi="Times New Roman" w:eastAsia="仿宋_GB2312"/>
                <w:sz w:val="24"/>
              </w:rPr>
              <w:t>招标</w:t>
            </w:r>
          </w:p>
        </w:tc>
        <w:tc>
          <w:tcPr>
            <w:tcW w:w="10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部分</w:t>
            </w:r>
          </w:p>
          <w:p>
            <w:pPr>
              <w:spacing w:line="560" w:lineRule="exact"/>
              <w:jc w:val="center"/>
              <w:rPr>
                <w:rFonts w:ascii="Times New Roman" w:hAnsi="Times New Roman" w:eastAsia="仿宋_GB2312"/>
                <w:sz w:val="24"/>
              </w:rPr>
            </w:pPr>
            <w:r>
              <w:rPr>
                <w:rFonts w:ascii="Times New Roman" w:hAnsi="Times New Roman" w:eastAsia="仿宋_GB2312"/>
                <w:sz w:val="24"/>
              </w:rPr>
              <w:t>招标</w:t>
            </w:r>
          </w:p>
        </w:tc>
        <w:tc>
          <w:tcPr>
            <w:tcW w:w="108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自行</w:t>
            </w:r>
          </w:p>
          <w:p>
            <w:pPr>
              <w:spacing w:line="560" w:lineRule="exact"/>
              <w:jc w:val="center"/>
              <w:rPr>
                <w:rFonts w:ascii="Times New Roman" w:hAnsi="Times New Roman" w:eastAsia="仿宋_GB2312"/>
                <w:sz w:val="24"/>
              </w:rPr>
            </w:pPr>
            <w:r>
              <w:rPr>
                <w:rFonts w:ascii="Times New Roman" w:hAnsi="Times New Roman" w:eastAsia="仿宋_GB2312"/>
                <w:sz w:val="24"/>
              </w:rPr>
              <w:t>招标</w:t>
            </w:r>
          </w:p>
        </w:tc>
        <w:tc>
          <w:tcPr>
            <w:tcW w:w="10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委托</w:t>
            </w:r>
          </w:p>
          <w:p>
            <w:pPr>
              <w:spacing w:line="560" w:lineRule="exact"/>
              <w:jc w:val="center"/>
              <w:rPr>
                <w:rFonts w:ascii="Times New Roman" w:hAnsi="Times New Roman" w:eastAsia="仿宋_GB2312"/>
                <w:sz w:val="24"/>
              </w:rPr>
            </w:pPr>
            <w:r>
              <w:rPr>
                <w:rFonts w:ascii="Times New Roman" w:hAnsi="Times New Roman" w:eastAsia="仿宋_GB2312"/>
                <w:sz w:val="24"/>
              </w:rPr>
              <w:t>招标</w:t>
            </w:r>
          </w:p>
        </w:tc>
        <w:tc>
          <w:tcPr>
            <w:tcW w:w="10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公开</w:t>
            </w:r>
          </w:p>
          <w:p>
            <w:pPr>
              <w:spacing w:line="560" w:lineRule="exact"/>
              <w:jc w:val="center"/>
              <w:rPr>
                <w:rFonts w:ascii="Times New Roman" w:hAnsi="Times New Roman" w:eastAsia="仿宋_GB2312"/>
                <w:sz w:val="24"/>
              </w:rPr>
            </w:pPr>
            <w:r>
              <w:rPr>
                <w:rFonts w:ascii="Times New Roman" w:hAnsi="Times New Roman" w:eastAsia="仿宋_GB2312"/>
                <w:sz w:val="24"/>
              </w:rPr>
              <w:t>招标</w:t>
            </w:r>
          </w:p>
        </w:tc>
        <w:tc>
          <w:tcPr>
            <w:tcW w:w="10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邀请</w:t>
            </w:r>
          </w:p>
          <w:p>
            <w:pPr>
              <w:spacing w:line="560" w:lineRule="exact"/>
              <w:jc w:val="center"/>
              <w:rPr>
                <w:rFonts w:ascii="Times New Roman" w:hAnsi="Times New Roman" w:eastAsia="仿宋_GB2312"/>
                <w:sz w:val="24"/>
              </w:rPr>
            </w:pPr>
            <w:r>
              <w:rPr>
                <w:rFonts w:ascii="Times New Roman" w:hAnsi="Times New Roman" w:eastAsia="仿宋_GB2312"/>
                <w:sz w:val="24"/>
              </w:rPr>
              <w:t>招标</w:t>
            </w:r>
          </w:p>
        </w:tc>
        <w:tc>
          <w:tcPr>
            <w:tcW w:w="1354" w:type="dxa"/>
            <w:vMerge w:val="continue"/>
            <w:tcBorders>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勘察设计</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3"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35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建筑安装工程</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3"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35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监理</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3"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核准</w:t>
            </w: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35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设备</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3"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35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重要材料</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3"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35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_GB2312"/>
                <w:sz w:val="24"/>
              </w:rPr>
            </w:pPr>
            <w:r>
              <w:rPr>
                <w:rFonts w:ascii="Times New Roman" w:hAnsi="Times New Roman" w:eastAsia="仿宋_GB2312"/>
                <w:sz w:val="24"/>
              </w:rPr>
              <w:t>其他</w:t>
            </w: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3"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085"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c>
          <w:tcPr>
            <w:tcW w:w="1354" w:type="dxa"/>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9105" w:type="dxa"/>
            <w:gridSpan w:val="8"/>
            <w:tcBorders>
              <w:top w:val="single" w:color="auto" w:sz="4" w:space="0"/>
              <w:left w:val="single" w:color="auto" w:sz="4" w:space="0"/>
              <w:bottom w:val="single" w:color="auto" w:sz="4" w:space="0"/>
              <w:right w:val="single" w:color="auto" w:sz="4" w:space="0"/>
            </w:tcBorders>
            <w:vAlign w:val="center"/>
          </w:tcPr>
          <w:p>
            <w:pPr>
              <w:pStyle w:val="3"/>
              <w:spacing w:line="560" w:lineRule="exact"/>
              <w:jc w:val="both"/>
              <w:rPr>
                <w:rFonts w:ascii="Times New Roman" w:hAnsi="Times New Roman" w:eastAsia="仿宋_GB2312"/>
              </w:rPr>
            </w:pPr>
          </w:p>
          <w:p>
            <w:pPr>
              <w:tabs>
                <w:tab w:val="left" w:pos="6832"/>
              </w:tabs>
              <w:spacing w:line="560" w:lineRule="exact"/>
              <w:jc w:val="right"/>
              <w:rPr>
                <w:rFonts w:ascii="Times New Roman" w:hAnsi="Times New Roman" w:eastAsia="仿宋_GB2312"/>
                <w:sz w:val="24"/>
              </w:rPr>
            </w:pPr>
            <w:r>
              <w:rPr>
                <w:rFonts w:ascii="Times New Roman" w:hAnsi="Times New Roman" w:eastAsia="仿宋_GB2312"/>
                <w:sz w:val="24"/>
              </w:rPr>
              <w:t>广州市天河区发展和改革局</w:t>
            </w:r>
          </w:p>
          <w:p>
            <w:pPr>
              <w:tabs>
                <w:tab w:val="left" w:pos="6345"/>
              </w:tabs>
              <w:spacing w:line="560" w:lineRule="exact"/>
              <w:jc w:val="left"/>
              <w:rPr>
                <w:rFonts w:ascii="Times New Roman" w:hAnsi="Times New Roman" w:eastAsia="仿宋_GB2312"/>
                <w:sz w:val="24"/>
              </w:rPr>
            </w:pPr>
            <w:r>
              <w:rPr>
                <w:rFonts w:ascii="Times New Roman" w:hAnsi="Times New Roman" w:eastAsia="仿宋_GB2312"/>
                <w:sz w:val="24"/>
              </w:rPr>
              <w:tab/>
            </w:r>
            <w:r>
              <w:rPr>
                <w:rFonts w:ascii="Times New Roman" w:hAnsi="Times New Roman" w:eastAsia="仿宋_GB2312"/>
                <w:sz w:val="24"/>
              </w:rPr>
              <w:t xml:space="preserve"> 2024年</w:t>
            </w:r>
            <w:r>
              <w:rPr>
                <w:rFonts w:hint="eastAsia" w:ascii="Times New Roman" w:hAnsi="Times New Roman" w:eastAsia="仿宋_GB2312"/>
                <w:sz w:val="24"/>
              </w:rPr>
              <w:t>4</w:t>
            </w:r>
            <w:r>
              <w:rPr>
                <w:rFonts w:ascii="Times New Roman" w:hAnsi="Times New Roman" w:eastAsia="仿宋_GB2312"/>
                <w:sz w:val="24"/>
              </w:rPr>
              <w:t>月</w:t>
            </w:r>
            <w:r>
              <w:rPr>
                <w:rFonts w:hint="eastAsia" w:ascii="Times New Roman" w:hAnsi="Times New Roman" w:eastAsia="仿宋_GB2312"/>
                <w:sz w:val="24"/>
              </w:rPr>
              <w:t>2</w:t>
            </w:r>
            <w:r>
              <w:rPr>
                <w:rFonts w:ascii="Times New Roman" w:hAnsi="Times New Roman" w:eastAsia="仿宋_GB2312"/>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2691F"/>
    <w:rsid w:val="60A2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60" w:after="360" w:line="600" w:lineRule="auto"/>
      <w:jc w:val="center"/>
      <w:outlineLvl w:val="0"/>
    </w:pPr>
    <w:rPr>
      <w:rFonts w:eastAsia="黑体"/>
      <w:b/>
      <w:bCs/>
      <w:kern w:val="44"/>
      <w:sz w:val="32"/>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4">
    <w:name w:val="Body Text"/>
    <w:basedOn w:val="1"/>
    <w:qFormat/>
    <w:uiPriority w:val="0"/>
    <w:rPr>
      <w:rFonts w:eastAsia="黑体"/>
      <w:b/>
      <w:bCs/>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区发展改革局</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2024-04-22T07:24:00Z</dcterms:created>
  <dc:creator>区发展改革局</dc:creator>
  <cp:lastModifiedBy>区发展改革局</cp:lastModifiedBy>
  <dcterms:modified xsi:type="dcterms:W3CDTF">2024-04-22T07:24:20Z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2C1FB72076524993A6DB0548ED99E633</vt:lpwstr>
  </property>
</Properties>
</file>