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18" w:line="957" w:lineRule="exact"/>
        <w:ind w:left="113" w:right="515" w:firstLine="0"/>
        <w:jc w:val="center"/>
        <w:rPr>
          <w:rFonts w:hint="eastAsia" w:ascii="方正小标宋_GBK" w:eastAsia="方正小标宋_GBK"/>
          <w:sz w:val="60"/>
        </w:rPr>
      </w:pPr>
      <w:r>
        <w:rPr>
          <w:rFonts w:hint="eastAsia" w:ascii="方正小标宋_GBK" w:eastAsia="方正小标宋_GBK"/>
          <w:color w:val="FF0000"/>
          <w:spacing w:val="113"/>
          <w:sz w:val="60"/>
        </w:rPr>
        <w:t>中华人民共和国自然资源部</w:t>
      </w:r>
    </w:p>
    <w:p>
      <w:pPr>
        <w:pStyle w:val="2"/>
        <w:spacing w:line="146" w:lineRule="exact"/>
        <w:ind w:left="179"/>
        <w:rPr>
          <w:rFonts w:ascii="方正小标宋_GBK"/>
          <w:sz w:val="14"/>
        </w:rPr>
      </w:pPr>
      <w:r>
        <w:rPr>
          <w:rFonts w:ascii="方正小标宋_GBK"/>
          <w:position w:val="-2"/>
          <w:sz w:val="14"/>
        </w:rPr>
        <w:pict>
          <v:group id="_x0000_s1026" o:spid="_x0000_s1026" o:spt="203" style="height:7.25pt;width:437.7pt;" coordsize="8754,145">
            <o:lock v:ext="edit"/>
            <v:line id="_x0000_s1027" o:spid="_x0000_s1027" o:spt="20" style="position:absolute;left:0;top:32;height:0;width:8753;" stroked="t" coordsize="21600,21600">
              <v:path arrowok="t"/>
              <v:fill focussize="0,0"/>
              <v:stroke weight="3.24984251968504pt" color="#FF0000"/>
              <v:imagedata o:title=""/>
              <o:lock v:ext="edit"/>
            </v:line>
            <v:line id="_x0000_s1028" o:spid="_x0000_s1028" o:spt="20" style="position:absolute;left:0;top:137;height:0;width:8753;" stroked="t" coordsize="21600,21600">
              <v:path arrowok="t"/>
              <v:fill focussize="0,0"/>
              <v:stroke color="#FF0000"/>
              <v:imagedata o:title=""/>
              <o:lock v:ext="edit"/>
            </v:line>
            <w10:wrap type="none"/>
            <w10:anchorlock/>
          </v:group>
        </w:pict>
      </w:r>
    </w:p>
    <w:p>
      <w:pPr>
        <w:pStyle w:val="2"/>
        <w:spacing w:before="162"/>
        <w:ind w:left="5671"/>
        <w:rPr>
          <w:rFonts w:hint="eastAsia" w:ascii="仿宋" w:eastAsia="仿宋"/>
        </w:rPr>
      </w:pPr>
      <w:r>
        <w:rPr>
          <w:rFonts w:hint="eastAsia" w:ascii="仿宋" w:eastAsia="仿宋"/>
          <w:lang w:eastAsia="zh-CN"/>
        </w:rPr>
        <w:t>自</w:t>
      </w:r>
      <w:r>
        <w:rPr>
          <w:rFonts w:hint="eastAsia" w:ascii="仿宋" w:eastAsia="仿宋"/>
        </w:rPr>
        <w:t>然资函〔</w:t>
      </w:r>
      <w:r>
        <w:rPr>
          <w:rFonts w:ascii="Times New Roman" w:eastAsia="Times New Roman"/>
        </w:rPr>
        <w:t>2022</w:t>
      </w:r>
      <w:r>
        <w:rPr>
          <w:rFonts w:hint="eastAsia" w:ascii="仿宋" w:eastAsia="仿宋"/>
        </w:rPr>
        <w:t>〕</w:t>
      </w:r>
      <w:r>
        <w:rPr>
          <w:rFonts w:ascii="Times New Roman" w:eastAsia="Times New Roman"/>
        </w:rPr>
        <w:t xml:space="preserve">797 </w:t>
      </w:r>
      <w:r>
        <w:rPr>
          <w:rFonts w:hint="eastAsia" w:ascii="仿宋" w:eastAsia="仿宋"/>
        </w:rPr>
        <w:t>号</w:t>
      </w:r>
    </w:p>
    <w:p>
      <w:pPr>
        <w:pStyle w:val="2"/>
        <w:spacing w:before="8"/>
        <w:rPr>
          <w:rFonts w:ascii="仿宋"/>
          <w:sz w:val="5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516" w:firstLine="0"/>
        <w:jc w:val="center"/>
        <w:textAlignment w:val="auto"/>
        <w:rPr>
          <w:rFonts w:hint="eastAsia" w:ascii="方正小标宋_GBK" w:eastAsia="方正小标宋_GBK"/>
          <w:sz w:val="44"/>
        </w:rPr>
      </w:pPr>
      <w:r>
        <w:rPr>
          <w:rFonts w:hint="eastAsia" w:ascii="方正小标宋_GBK" w:eastAsia="方正小标宋_GBK"/>
          <w:sz w:val="44"/>
        </w:rPr>
        <w:t>自然资源部关于广州增城至佛山高速公路（增城至天河段）工程建设用地的批复</w:t>
      </w:r>
    </w:p>
    <w:p>
      <w:pPr>
        <w:pStyle w:val="2"/>
        <w:spacing w:before="17"/>
        <w:rPr>
          <w:rFonts w:ascii="方正小标宋_GBK"/>
          <w:sz w:val="34"/>
        </w:rPr>
      </w:pPr>
    </w:p>
    <w:p>
      <w:pPr>
        <w:pStyle w:val="2"/>
        <w:ind w:left="153"/>
        <w:rPr>
          <w:rFonts w:hint="eastAsia" w:eastAsia="仿宋_GB2312"/>
          <w:lang w:val="en-US" w:eastAsia="zh-CN"/>
        </w:rPr>
      </w:pPr>
      <w:r>
        <w:t>广东省人民政府</w:t>
      </w:r>
      <w:r>
        <w:rPr>
          <w:rFonts w:hint="eastAsia"/>
          <w:lang w:eastAsia="zh-CN"/>
        </w:rPr>
        <w:t>：</w:t>
      </w:r>
      <w:bookmarkStart w:id="0" w:name="_GoBack"/>
      <w:bookmarkEnd w:id="0"/>
    </w:p>
    <w:p>
      <w:pPr>
        <w:pStyle w:val="2"/>
        <w:spacing w:before="152" w:line="326" w:lineRule="auto"/>
        <w:ind w:left="153" w:right="431" w:firstLine="640"/>
        <w:jc w:val="both"/>
        <w:rPr>
          <w:rFonts w:hint="eastAsia" w:eastAsia="仿宋_GB2312"/>
          <w:lang w:eastAsia="zh-CN"/>
        </w:rPr>
      </w:pPr>
      <w:r>
        <w:t>你省《关于审批广州增城至佛山高速公路（增城至天河段） 工程项目用地的请示》（粤府〔</w:t>
      </w:r>
      <w:r>
        <w:rPr>
          <w:rFonts w:ascii="Times New Roman" w:eastAsia="Times New Roman"/>
        </w:rPr>
        <w:t>2022</w:t>
      </w:r>
      <w:r>
        <w:t>〕</w:t>
      </w:r>
      <w:r>
        <w:rPr>
          <w:rFonts w:ascii="Times New Roman" w:eastAsia="Times New Roman"/>
        </w:rPr>
        <w:t>34</w:t>
      </w:r>
      <w:r>
        <w:t>号）业经国务院批准， 现批复如下</w:t>
      </w:r>
      <w:r>
        <w:rPr>
          <w:rFonts w:hint="eastAsia"/>
          <w:lang w:eastAsia="zh-CN"/>
        </w:rPr>
        <w:t>：</w:t>
      </w:r>
    </w:p>
    <w:p>
      <w:pPr>
        <w:pStyle w:val="2"/>
        <w:tabs>
          <w:tab w:val="left" w:pos="6333"/>
        </w:tabs>
        <w:spacing w:before="7" w:line="328" w:lineRule="auto"/>
        <w:ind w:left="153" w:right="272" w:firstLine="640"/>
      </w:pPr>
      <w:r>
        <w:t>一、同意广州市白云</w:t>
      </w:r>
      <w:r>
        <w:rPr>
          <w:spacing w:val="3"/>
        </w:rPr>
        <w:t>区</w:t>
      </w:r>
      <w:r>
        <w:t>、黄埔区、增城区将农民集体所有农用地</w:t>
      </w:r>
      <w:r>
        <w:rPr>
          <w:rFonts w:ascii="Times New Roman" w:eastAsia="Times New Roman"/>
        </w:rPr>
        <w:t>356/688</w:t>
      </w:r>
      <w:r>
        <w:t>公</w:t>
      </w:r>
      <w:r>
        <w:rPr>
          <w:spacing w:val="-120"/>
        </w:rPr>
        <w:t>顷</w:t>
      </w:r>
      <w:r>
        <w:t>（其中耕地</w:t>
      </w:r>
      <w:r>
        <w:rPr>
          <w:rFonts w:ascii="Times New Roman" w:eastAsia="Times New Roman"/>
        </w:rPr>
        <w:t>28/0415</w:t>
      </w:r>
      <w:r>
        <w:t>公顷</w:t>
      </w:r>
      <w:r>
        <w:rPr>
          <w:spacing w:val="-120"/>
        </w:rPr>
        <w:t>，</w:t>
      </w:r>
      <w:r>
        <w:t>含永久基本农田</w:t>
      </w:r>
      <w:r>
        <w:rPr>
          <w:rFonts w:ascii="Times New Roman" w:eastAsia="Times New Roman"/>
        </w:rPr>
        <w:t>63</w:t>
      </w:r>
      <w:r>
        <w:rPr>
          <w:rFonts w:hint="eastAsia" w:ascii="Times New Roman" w:eastAsia="宋体"/>
          <w:lang w:val="en-US" w:eastAsia="zh-CN"/>
        </w:rPr>
        <w:t>.</w:t>
      </w:r>
      <w:r>
        <w:rPr>
          <w:rFonts w:ascii="Times New Roman" w:eastAsia="Times New Roman"/>
        </w:rPr>
        <w:t xml:space="preserve">4777 </w:t>
      </w:r>
      <w:r>
        <w:rPr>
          <w:spacing w:val="5"/>
        </w:rPr>
        <w:t>公</w:t>
      </w:r>
      <w:r>
        <w:t>顷</w:t>
      </w:r>
      <w:r>
        <w:rPr>
          <w:spacing w:val="5"/>
        </w:rPr>
        <w:t>）</w:t>
      </w:r>
      <w:r>
        <w:t>、</w:t>
      </w:r>
      <w:r>
        <w:rPr>
          <w:spacing w:val="5"/>
        </w:rPr>
        <w:t>未利</w:t>
      </w:r>
      <w:r>
        <w:t>用</w:t>
      </w:r>
      <w:r>
        <w:rPr>
          <w:spacing w:val="4"/>
        </w:rPr>
        <w:t>地</w:t>
      </w:r>
      <w:r>
        <w:rPr>
          <w:rFonts w:ascii="Times New Roman" w:eastAsia="Times New Roman"/>
        </w:rPr>
        <w:t>0</w:t>
      </w:r>
      <w:r>
        <w:rPr>
          <w:rFonts w:hint="eastAsia" w:ascii="Times New Roman" w:eastAsia="宋体"/>
          <w:lang w:val="en-US" w:eastAsia="zh-CN"/>
        </w:rPr>
        <w:t>.</w:t>
      </w:r>
      <w:r>
        <w:rPr>
          <w:rFonts w:ascii="Times New Roman" w:eastAsia="Times New Roman"/>
        </w:rPr>
        <w:t>2072</w:t>
      </w:r>
      <w:r>
        <w:rPr>
          <w:spacing w:val="5"/>
        </w:rPr>
        <w:t>公</w:t>
      </w:r>
      <w:r>
        <w:t>顷</w:t>
      </w:r>
      <w:r>
        <w:rPr>
          <w:spacing w:val="5"/>
        </w:rPr>
        <w:t>转为</w:t>
      </w:r>
      <w:r>
        <w:t>建</w:t>
      </w:r>
      <w:r>
        <w:rPr>
          <w:spacing w:val="5"/>
        </w:rPr>
        <w:t>设</w:t>
      </w:r>
      <w:r>
        <w:t>用</w:t>
      </w:r>
      <w:r>
        <w:rPr>
          <w:spacing w:val="5"/>
        </w:rPr>
        <w:t>地并</w:t>
      </w:r>
      <w:r>
        <w:t>办</w:t>
      </w:r>
      <w:r>
        <w:rPr>
          <w:spacing w:val="5"/>
        </w:rPr>
        <w:t>理征</w:t>
      </w:r>
      <w:r>
        <w:t>地</w:t>
      </w:r>
      <w:r>
        <w:rPr>
          <w:spacing w:val="5"/>
        </w:rPr>
        <w:t>手</w:t>
      </w:r>
      <w:r>
        <w:t>续</w:t>
      </w:r>
      <w:r>
        <w:rPr>
          <w:spacing w:val="5"/>
        </w:rPr>
        <w:t>，</w:t>
      </w:r>
      <w:r>
        <w:t>另</w:t>
      </w:r>
      <w:r>
        <w:rPr>
          <w:spacing w:val="31"/>
        </w:rPr>
        <w:t>征</w:t>
      </w:r>
      <w:r>
        <w:rPr>
          <w:spacing w:val="33"/>
        </w:rPr>
        <w:t>收</w:t>
      </w:r>
      <w:r>
        <w:rPr>
          <w:spacing w:val="31"/>
        </w:rPr>
        <w:t>农民</w:t>
      </w:r>
      <w:r>
        <w:rPr>
          <w:spacing w:val="33"/>
        </w:rPr>
        <w:t>集</w:t>
      </w:r>
      <w:r>
        <w:rPr>
          <w:spacing w:val="31"/>
        </w:rPr>
        <w:t>体所</w:t>
      </w:r>
      <w:r>
        <w:rPr>
          <w:spacing w:val="33"/>
        </w:rPr>
        <w:t>有</w:t>
      </w:r>
      <w:r>
        <w:rPr>
          <w:spacing w:val="31"/>
        </w:rPr>
        <w:t>建设</w:t>
      </w:r>
      <w:r>
        <w:rPr>
          <w:spacing w:val="33"/>
        </w:rPr>
        <w:t>用</w:t>
      </w:r>
      <w:r>
        <w:rPr>
          <w:spacing w:val="30"/>
        </w:rPr>
        <w:t>地</w:t>
      </w:r>
      <w:r>
        <w:rPr>
          <w:rFonts w:ascii="Times New Roman" w:eastAsia="Times New Roman"/>
        </w:rPr>
        <w:t>1</w:t>
      </w:r>
      <w:r>
        <w:rPr>
          <w:rFonts w:hint="eastAsia" w:ascii="Times New Roman" w:eastAsia="宋体"/>
          <w:lang w:val="en-US" w:eastAsia="zh-CN"/>
        </w:rPr>
        <w:t>.</w:t>
      </w:r>
      <w:r>
        <w:rPr>
          <w:rFonts w:ascii="Times New Roman" w:eastAsia="Times New Roman"/>
        </w:rPr>
        <w:t>5912</w:t>
      </w:r>
      <w:r>
        <w:rPr>
          <w:rFonts w:ascii="Times New Roman" w:eastAsia="Times New Roman"/>
          <w:spacing w:val="-51"/>
        </w:rPr>
        <w:t xml:space="preserve"> </w:t>
      </w:r>
      <w:r>
        <w:rPr>
          <w:spacing w:val="31"/>
        </w:rPr>
        <w:t>公</w:t>
      </w:r>
      <w:r>
        <w:t>顷</w:t>
      </w:r>
      <w:r>
        <w:rPr>
          <w:rFonts w:hint="eastAsia"/>
          <w:lang w:eastAsia="zh-CN"/>
        </w:rPr>
        <w:t>；</w:t>
      </w:r>
      <w:r>
        <w:rPr>
          <w:spacing w:val="31"/>
        </w:rPr>
        <w:t>同</w:t>
      </w:r>
      <w:r>
        <w:rPr>
          <w:spacing w:val="33"/>
        </w:rPr>
        <w:t>意</w:t>
      </w:r>
      <w:r>
        <w:rPr>
          <w:spacing w:val="31"/>
        </w:rPr>
        <w:t>将国</w:t>
      </w:r>
      <w:r>
        <w:rPr>
          <w:spacing w:val="33"/>
        </w:rPr>
        <w:t>有</w:t>
      </w:r>
      <w:r>
        <w:rPr>
          <w:spacing w:val="31"/>
        </w:rPr>
        <w:t>农用</w:t>
      </w:r>
      <w:r>
        <w:t>地</w:t>
      </w:r>
      <w:r>
        <w:rPr>
          <w:rFonts w:ascii="Times New Roman" w:eastAsia="Times New Roman"/>
          <w:w w:val="95"/>
        </w:rPr>
        <w:t>27</w:t>
      </w:r>
      <w:r>
        <w:rPr>
          <w:rFonts w:hint="eastAsia" w:ascii="Times New Roman" w:eastAsia="宋体"/>
          <w:w w:val="95"/>
          <w:lang w:val="en-US" w:eastAsia="zh-CN"/>
        </w:rPr>
        <w:t>.</w:t>
      </w:r>
      <w:r>
        <w:rPr>
          <w:rFonts w:ascii="Times New Roman" w:eastAsia="Times New Roman"/>
          <w:w w:val="95"/>
        </w:rPr>
        <w:t>5971</w:t>
      </w:r>
      <w:r>
        <w:rPr>
          <w:w w:val="95"/>
        </w:rPr>
        <w:t>公</w:t>
      </w:r>
      <w:r>
        <w:rPr>
          <w:spacing w:val="-118"/>
          <w:w w:val="95"/>
        </w:rPr>
        <w:t>顷</w:t>
      </w:r>
      <w:r>
        <w:rPr>
          <w:w w:val="95"/>
        </w:rPr>
        <w:t>（其中耕地</w:t>
      </w:r>
      <w:r>
        <w:rPr>
          <w:rFonts w:ascii="Times New Roman" w:eastAsia="Times New Roman"/>
          <w:w w:val="95"/>
        </w:rPr>
        <w:t>0</w:t>
      </w:r>
      <w:r>
        <w:rPr>
          <w:rFonts w:hint="eastAsia" w:ascii="Times New Roman" w:eastAsia="宋体"/>
          <w:w w:val="95"/>
          <w:lang w:val="en-US" w:eastAsia="zh-CN"/>
        </w:rPr>
        <w:t>.</w:t>
      </w:r>
      <w:r>
        <w:rPr>
          <w:rFonts w:ascii="Times New Roman" w:eastAsia="Times New Roman"/>
          <w:w w:val="95"/>
        </w:rPr>
        <w:t>2822</w:t>
      </w:r>
      <w:r>
        <w:rPr>
          <w:w w:val="95"/>
        </w:rPr>
        <w:t>公顷</w:t>
      </w:r>
      <w:r>
        <w:rPr>
          <w:spacing w:val="-120"/>
          <w:w w:val="95"/>
        </w:rPr>
        <w:t>，</w:t>
      </w:r>
      <w:r>
        <w:rPr>
          <w:w w:val="95"/>
        </w:rPr>
        <w:t>含永久基本农田</w:t>
      </w:r>
      <w:r>
        <w:rPr>
          <w:rFonts w:ascii="Times New Roman" w:eastAsia="Times New Roman"/>
          <w:w w:val="95"/>
        </w:rPr>
        <w:t>2</w:t>
      </w:r>
      <w:r>
        <w:rPr>
          <w:rFonts w:hint="eastAsia" w:ascii="Times New Roman" w:eastAsia="宋体"/>
          <w:w w:val="95"/>
          <w:lang w:val="en-US" w:eastAsia="zh-CN"/>
        </w:rPr>
        <w:t>.</w:t>
      </w:r>
      <w:r>
        <w:rPr>
          <w:rFonts w:ascii="Times New Roman" w:eastAsia="Times New Roman"/>
          <w:w w:val="95"/>
        </w:rPr>
        <w:t>6198</w:t>
      </w:r>
      <w:r>
        <w:rPr>
          <w:w w:val="95"/>
        </w:rPr>
        <w:t>公顷</w:t>
      </w:r>
      <w:r>
        <w:rPr>
          <w:spacing w:val="-159"/>
          <w:w w:val="95"/>
        </w:rPr>
        <w:t>）</w:t>
      </w:r>
      <w:r>
        <w:rPr>
          <w:w w:val="95"/>
        </w:rPr>
        <w:t>、</w:t>
      </w:r>
      <w:r>
        <w:t>未利用地</w:t>
      </w:r>
      <w:r>
        <w:rPr>
          <w:rFonts w:ascii="Times New Roman" w:eastAsia="Times New Roman"/>
        </w:rPr>
        <w:t>0</w:t>
      </w:r>
      <w:r>
        <w:rPr>
          <w:rFonts w:hint="eastAsia" w:ascii="Times New Roman" w:eastAsia="宋体"/>
          <w:lang w:val="en-US" w:eastAsia="zh-CN"/>
        </w:rPr>
        <w:t>.</w:t>
      </w:r>
      <w:r>
        <w:rPr>
          <w:rFonts w:ascii="Times New Roman" w:eastAsia="Times New Roman"/>
        </w:rPr>
        <w:t>965</w:t>
      </w:r>
      <w:r>
        <w:t>公顷转为建设用地，同时使用国有建设用地</w:t>
      </w:r>
      <w:r>
        <w:rPr>
          <w:rFonts w:ascii="Times New Roman" w:eastAsia="Times New Roman"/>
        </w:rPr>
        <w:t>0</w:t>
      </w:r>
      <w:r>
        <w:rPr>
          <w:rFonts w:hint="eastAsia" w:ascii="Times New Roman" w:eastAsia="宋体"/>
          <w:lang w:val="en-US" w:eastAsia="zh-CN"/>
        </w:rPr>
        <w:t>.</w:t>
      </w:r>
      <w:r>
        <w:rPr>
          <w:rFonts w:ascii="Times New Roman" w:eastAsia="Times New Roman"/>
        </w:rPr>
        <w:t xml:space="preserve">2388 </w:t>
      </w:r>
      <w:r>
        <w:t>公顷。</w:t>
      </w:r>
    </w:p>
    <w:p>
      <w:pPr>
        <w:pStyle w:val="2"/>
        <w:spacing w:line="397" w:lineRule="exact"/>
        <w:ind w:left="794"/>
      </w:pPr>
      <w:r>
        <w:t>以上共计批准建设用地</w:t>
      </w:r>
      <w:r>
        <w:rPr>
          <w:rFonts w:ascii="Times New Roman" w:eastAsia="Times New Roman"/>
        </w:rPr>
        <w:t>387</w:t>
      </w:r>
      <w:r>
        <w:rPr>
          <w:rFonts w:hint="eastAsia" w:ascii="Times New Roman" w:eastAsia="宋体"/>
          <w:lang w:val="en-US" w:eastAsia="zh-CN"/>
        </w:rPr>
        <w:t>.</w:t>
      </w:r>
      <w:r>
        <w:rPr>
          <w:rFonts w:ascii="Times New Roman" w:eastAsia="Times New Roman"/>
        </w:rPr>
        <w:t>2873</w:t>
      </w:r>
      <w:r>
        <w:t>公顷，由当地人民政府依法</w:t>
      </w:r>
    </w:p>
    <w:p>
      <w:pPr>
        <w:pStyle w:val="2"/>
        <w:spacing w:before="149" w:line="328" w:lineRule="auto"/>
        <w:ind w:left="153" w:right="433"/>
        <w:jc w:val="both"/>
      </w:pPr>
      <w:r>
        <w:rPr>
          <w:w w:val="95"/>
        </w:rPr>
        <w:t>依规提供，作为广州增城至佛山高速公路（增城至天河段）工程建设用地。当地自然资源主管部门要及时核发划拨供地文件或签</w:t>
      </w:r>
      <w:r>
        <w:t>订有偿使用合同，并上传土地市场监测与监管系统。</w:t>
      </w:r>
    </w:p>
    <w:p>
      <w:pPr>
        <w:pStyle w:val="2"/>
        <w:spacing w:line="328" w:lineRule="auto"/>
        <w:ind w:left="153" w:right="433" w:firstLine="640"/>
        <w:jc w:val="both"/>
      </w:pPr>
      <w:r>
        <w:pict>
          <v:group id="_x0000_s1029" o:spid="_x0000_s1029" o:spt="203" style="position:absolute;left:0pt;margin-left:71.7pt;margin-top:76.8pt;height:4.9pt;width:450.3pt;mso-position-horizontal-relative:page;z-index:-251657216;mso-width-relative:page;mso-height-relative:page;" coordorigin="1435,1536" coordsize="9006,98">
            <o:lock v:ext="edit"/>
            <v:line id="_x0000_s1030" o:spid="_x0000_s1030" o:spt="20" style="position:absolute;left:1435;top:1602;height:0;width:9005;" stroked="t" coordsize="21600,21600">
              <v:path arrowok="t"/>
              <v:fill focussize="0,0"/>
              <v:stroke weight="3.24984251968504pt" color="#FF0000"/>
              <v:imagedata o:title=""/>
              <o:lock v:ext="edit"/>
            </v:line>
            <v:line id="_x0000_s1031" o:spid="_x0000_s1031" o:spt="20" style="position:absolute;left:1435;top:1544;height:0;width:9005;" stroked="t" coordsize="21600,21600">
              <v:path arrowok="t"/>
              <v:fill focussize="0,0"/>
              <v:stroke color="#FF0000"/>
              <v:imagedata o:title=""/>
              <o:lock v:ext="edit"/>
            </v:line>
          </v:group>
        </w:pict>
      </w:r>
      <w:r>
        <w:rPr>
          <w:w w:val="95"/>
        </w:rPr>
        <w:t xml:space="preserve">二、督促当地人民政府和用地单位切实落实核减的用地（共 </w:t>
      </w:r>
      <w:r>
        <w:rPr>
          <w:spacing w:val="7"/>
          <w:w w:val="95"/>
        </w:rPr>
        <w:t>计核减</w:t>
      </w:r>
      <w:r>
        <w:rPr>
          <w:rFonts w:ascii="Times New Roman" w:eastAsia="Times New Roman"/>
          <w:w w:val="95"/>
        </w:rPr>
        <w:t>42</w:t>
      </w:r>
      <w:r>
        <w:rPr>
          <w:rFonts w:hint="eastAsia" w:ascii="Times New Roman" w:eastAsia="宋体"/>
          <w:w w:val="95"/>
          <w:lang w:val="en-US" w:eastAsia="zh-CN"/>
        </w:rPr>
        <w:t>.</w:t>
      </w:r>
      <w:r>
        <w:rPr>
          <w:rFonts w:ascii="Times New Roman" w:eastAsia="Times New Roman"/>
          <w:w w:val="95"/>
        </w:rPr>
        <w:t>7708</w:t>
      </w:r>
      <w:r>
        <w:rPr>
          <w:spacing w:val="7"/>
          <w:w w:val="95"/>
        </w:rPr>
        <w:t>公顷，其中交叉用地</w:t>
      </w:r>
      <w:r>
        <w:rPr>
          <w:rFonts w:ascii="Times New Roman" w:eastAsia="Times New Roman"/>
          <w:w w:val="95"/>
        </w:rPr>
        <w:t>39</w:t>
      </w:r>
      <w:r>
        <w:rPr>
          <w:rFonts w:hint="eastAsia" w:ascii="Times New Roman" w:eastAsia="宋体"/>
          <w:w w:val="95"/>
          <w:lang w:val="en-US" w:eastAsia="zh-CN"/>
        </w:rPr>
        <w:t>.</w:t>
      </w:r>
      <w:r>
        <w:rPr>
          <w:rFonts w:ascii="Times New Roman" w:eastAsia="Times New Roman"/>
          <w:w w:val="95"/>
        </w:rPr>
        <w:t>5708</w:t>
      </w:r>
      <w:r>
        <w:rPr>
          <w:spacing w:val="5"/>
          <w:w w:val="95"/>
        </w:rPr>
        <w:t>公顷、沿线设施用地</w:t>
      </w:r>
      <w:r>
        <w:rPr>
          <w:rFonts w:ascii="Times New Roman" w:eastAsia="Times New Roman"/>
          <w:spacing w:val="-1"/>
          <w:w w:val="99"/>
        </w:rPr>
        <w:t>3</w:t>
      </w:r>
      <w:r>
        <w:rPr>
          <w:rFonts w:hint="eastAsia" w:ascii="Times New Roman" w:eastAsia="宋体"/>
          <w:spacing w:val="-1"/>
          <w:w w:val="99"/>
          <w:lang w:val="en-US" w:eastAsia="zh-CN"/>
        </w:rPr>
        <w:t>.</w:t>
      </w:r>
      <w:r>
        <w:rPr>
          <w:rFonts w:ascii="Times New Roman" w:eastAsia="Times New Roman"/>
          <w:spacing w:val="3"/>
          <w:w w:val="96"/>
        </w:rPr>
        <w:t>2</w:t>
      </w:r>
      <w:r>
        <w:rPr>
          <w:w w:val="99"/>
        </w:rPr>
        <w:t>公顷</w:t>
      </w:r>
      <w:r>
        <w:rPr>
          <w:spacing w:val="-159"/>
          <w:w w:val="99"/>
        </w:rPr>
        <w:t>）</w:t>
      </w:r>
      <w:r>
        <w:rPr>
          <w:w w:val="99"/>
        </w:rPr>
        <w:t>，进一步完善有关用地方案，节约集约用地。</w:t>
      </w:r>
    </w:p>
    <w:p>
      <w:pPr>
        <w:spacing w:after="0" w:line="328" w:lineRule="auto"/>
        <w:jc w:val="both"/>
        <w:sectPr>
          <w:type w:val="continuous"/>
          <w:pgSz w:w="11910" w:h="16840"/>
          <w:pgMar w:top="1300" w:right="1040" w:bottom="280" w:left="1320" w:header="720" w:footer="720" w:gutter="0"/>
          <w:cols w:space="720" w:num="1"/>
        </w:sectPr>
      </w:pPr>
    </w:p>
    <w:p>
      <w:pPr>
        <w:pStyle w:val="2"/>
        <w:rPr>
          <w:sz w:val="20"/>
        </w:rPr>
      </w:pPr>
    </w:p>
    <w:p>
      <w:pPr>
        <w:pStyle w:val="2"/>
        <w:spacing w:before="1"/>
        <w:rPr>
          <w:sz w:val="25"/>
        </w:rPr>
      </w:pPr>
    </w:p>
    <w:p>
      <w:pPr>
        <w:pStyle w:val="2"/>
        <w:spacing w:before="54" w:line="328" w:lineRule="auto"/>
        <w:ind w:left="153" w:right="431" w:firstLine="640"/>
        <w:jc w:val="both"/>
      </w:pPr>
      <w:r>
        <w:t>三、你省应督促有关县级以上地方人民政府依法落实征地补偿费用和安置措施，将被征地农民纳入相应的养老等保障体系， 妥善解决好被征地农民的生产生活，保证原有生活水平不降低， 长远生计有保障。征地补偿安置不落实的，不得动工用地。</w:t>
      </w:r>
    </w:p>
    <w:p>
      <w:pPr>
        <w:pStyle w:val="2"/>
        <w:spacing w:line="328" w:lineRule="auto"/>
        <w:ind w:left="153" w:right="112" w:firstLine="640"/>
      </w:pPr>
      <w:r>
        <w:t xml:space="preserve">四、你省须落实补充耕地和补划永久基本农田。督促补充耕 地责任单位认真按照补充耕地方案，补充数量相等、质量相当的 耕地，落实建设占用耕地耕作层土壤剥离利用。督促有关市县人 </w:t>
      </w:r>
      <w:r>
        <w:rPr>
          <w:w w:val="95"/>
        </w:rPr>
        <w:t>民政府落实补划永久基本农田方案，将永久基本农田落实到地块。</w:t>
      </w:r>
      <w:r>
        <w:t>督促建设单位依法履行复垦佌务。</w:t>
      </w:r>
    </w:p>
    <w:p>
      <w:pPr>
        <w:pStyle w:val="2"/>
        <w:spacing w:line="326" w:lineRule="auto"/>
        <w:ind w:left="153" w:right="431" w:firstLine="640"/>
      </w:pPr>
      <w:r>
        <w:t>五、严格按照国家有关规定缴纳和使用新增建设用地土地有偿使用费。</w:t>
      </w:r>
    </w:p>
    <w:p>
      <w:pPr>
        <w:pStyle w:val="2"/>
      </w:pPr>
    </w:p>
    <w:p>
      <w:pPr>
        <w:pStyle w:val="2"/>
      </w:pPr>
    </w:p>
    <w:p>
      <w:pPr>
        <w:pStyle w:val="2"/>
      </w:pPr>
    </w:p>
    <w:p>
      <w:pPr>
        <w:pStyle w:val="2"/>
      </w:pPr>
    </w:p>
    <w:p>
      <w:pPr>
        <w:pStyle w:val="2"/>
        <w:rPr>
          <w:sz w:val="46"/>
        </w:rPr>
      </w:pPr>
    </w:p>
    <w:p>
      <w:pPr>
        <w:pStyle w:val="2"/>
        <w:ind w:left="4706" w:right="515"/>
        <w:jc w:val="center"/>
      </w:pPr>
      <w:r>
        <w:t>自然资源部</w:t>
      </w:r>
    </w:p>
    <w:p>
      <w:pPr>
        <w:pStyle w:val="2"/>
        <w:spacing w:before="149"/>
        <w:ind w:left="4706" w:right="515"/>
        <w:jc w:val="center"/>
      </w:pPr>
      <w:r>
        <w:rPr>
          <w:rFonts w:ascii="Times New Roman" w:eastAsia="Times New Roman"/>
        </w:rPr>
        <w:t>2022</w:t>
      </w:r>
      <w:r>
        <w:t>年</w:t>
      </w:r>
      <w:r>
        <w:rPr>
          <w:rFonts w:ascii="Times New Roman" w:eastAsia="Times New Roman"/>
        </w:rPr>
        <w:t>6</w:t>
      </w:r>
      <w:r>
        <w:t>月</w:t>
      </w:r>
      <w:r>
        <w:rPr>
          <w:rFonts w:ascii="Times New Roman" w:eastAsia="Times New Roman"/>
        </w:rPr>
        <w:t>29</w:t>
      </w:r>
      <w:r>
        <w:t>日</w:t>
      </w:r>
    </w:p>
    <w:p>
      <w:pPr>
        <w:pStyle w:val="2"/>
        <w:rPr>
          <w:sz w:val="34"/>
        </w:rPr>
      </w:pPr>
    </w:p>
    <w:p>
      <w:pPr>
        <w:pStyle w:val="2"/>
        <w:spacing w:before="275"/>
        <w:ind w:left="153"/>
        <w:rPr>
          <w:rFonts w:hint="eastAsia" w:ascii="楷体" w:eastAsia="楷体"/>
        </w:rPr>
      </w:pPr>
      <w:r>
        <w:rPr>
          <w:rFonts w:hint="eastAsia" w:ascii="黑体" w:eastAsia="黑体"/>
        </w:rPr>
        <w:t>公开方式：</w:t>
      </w:r>
      <w:r>
        <w:rPr>
          <w:rFonts w:hint="eastAsia" w:ascii="楷体" w:eastAsia="楷体"/>
        </w:rPr>
        <w:t>主动公开</w:t>
      </w:r>
    </w:p>
    <w:p>
      <w:pPr>
        <w:pStyle w:val="2"/>
        <w:spacing w:before="149" w:line="328" w:lineRule="auto"/>
        <w:ind w:left="1411" w:right="453" w:hanging="960"/>
        <w:jc w:val="both"/>
      </w:pPr>
      <w:r>
        <w:t>抄送：国务院办公厅、发展改革委、财政部、交通运输部、农业农村部、人民银行，国资委，林草局，国家自然资源督察广州局，国家自然资源总督察办公室。</w:t>
      </w:r>
    </w:p>
    <w:p>
      <w:pPr>
        <w:pStyle w:val="2"/>
        <w:rPr>
          <w:sz w:val="20"/>
        </w:rPr>
      </w:pPr>
    </w:p>
    <w:p>
      <w:pPr>
        <w:pStyle w:val="2"/>
        <w:rPr>
          <w:sz w:val="20"/>
        </w:rPr>
      </w:pPr>
    </w:p>
    <w:p>
      <w:pPr>
        <w:pStyle w:val="2"/>
        <w:spacing w:before="4"/>
        <w:rPr>
          <w:sz w:val="18"/>
        </w:rPr>
      </w:pPr>
    </w:p>
    <w:p>
      <w:pPr>
        <w:spacing w:before="58"/>
        <w:ind w:left="153" w:right="0" w:firstLine="0"/>
        <w:jc w:val="left"/>
        <w:rPr>
          <w:rFonts w:ascii="宋体" w:hAnsi="宋体"/>
          <w:sz w:val="30"/>
        </w:rPr>
      </w:pPr>
      <w:r>
        <w:rPr>
          <w:rFonts w:ascii="宋体" w:hAnsi="宋体"/>
          <w:sz w:val="30"/>
        </w:rPr>
        <w:t>— 2 —</w:t>
      </w:r>
    </w:p>
    <w:sectPr>
      <w:pgSz w:w="11910" w:h="16840"/>
      <w:pgMar w:top="1580" w:right="1040" w:bottom="280" w:left="13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DVjMTY3NTU1NjJlNTE4YmM4YWQ1ZTFiNmUwZjI3N2YifQ=="/>
  </w:docVars>
  <w:rsids>
    <w:rsidRoot w:val="00000000"/>
    <w:rsid w:val="556D4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803</Words>
  <Characters>890</Characters>
  <TotalTime>4</TotalTime>
  <ScaleCrop>false</ScaleCrop>
  <LinksUpToDate>false</LinksUpToDate>
  <CharactersWithSpaces>909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2022-09-22T06:03:00Z</dcterms:created>
  <dc:creator>text</dc:creator>
  <cp:lastModifiedBy>似水流连</cp:lastModifiedBy>
  <dcterms:modified xsi:type="dcterms:W3CDTF">2022-09-22T06:07:38Z</dcterms:modified>
  <dc:title>自然资函〔2022〕797号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WPS Office Professional</vt:lpwstr>
  </property>
  <property fmtid="{D5CDD505-2E9C-101B-9397-08002B2CF9AE}" pid="4" name="LastSaved">
    <vt:filetime>2022-09-22T00:00:00Z</vt:filetime>
  </property>
  <property fmtid="{D5CDD505-2E9C-101B-9397-08002B2CF9AE}" pid="5" name="KSOProductBuildVer">
    <vt:lpwstr>2052-11.1.0.12313</vt:lpwstr>
  </property>
  <property fmtid="{D5CDD505-2E9C-101B-9397-08002B2CF9AE}" pid="6" name="ICV">
    <vt:lpwstr>942C8A4D63C54881A547536C51A4B3BA</vt:lpwstr>
  </property>
</Properties>
</file>