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Times New Roman" w:eastAsia="仿宋_GB2312"/>
          <w:sz w:val="44"/>
          <w:szCs w:val="44"/>
        </w:rPr>
      </w:pPr>
      <w:bookmarkStart w:id="0" w:name="_GoBack"/>
      <w:r>
        <w:rPr>
          <w:rFonts w:hint="eastAsia" w:ascii="仿宋_GB2312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4"/>
        <w:rPr>
          <w:rFonts w:hint="eastAsia" w:ascii="仿宋_GB2312" w:hAnsi="Times New Roman" w:eastAsia="仿宋_GB2312"/>
        </w:rPr>
      </w:pPr>
      <w:r>
        <w:rPr>
          <w:rFonts w:hint="eastAsia" w:ascii="仿宋_GB2312" w:hAnsi="Times New Roman" w:eastAsia="仿宋_GB2312"/>
          <w:b w:val="0"/>
          <w:bCs w:val="0"/>
          <w:sz w:val="24"/>
          <w:szCs w:val="21"/>
        </w:rPr>
        <w:t>建设项目名称：鸿运伟诚小区改造项目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ab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2022年9月1日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97C9A"/>
    <w:rsid w:val="691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2022-09-05T07:22:00Z</dcterms:created>
  <dc:creator>区发展改革局</dc:creator>
  <cp:lastModifiedBy>区发展改革局</cp:lastModifiedBy>
  <dcterms:modified xsi:type="dcterms:W3CDTF">2022-09-05T07:22:31Z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