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4" w:lineRule="auto"/>
        <w:rPr>
          <w:rFonts w:ascii="Arial"/>
          <w:sz w:val="32"/>
          <w:szCs w:val="32"/>
        </w:rPr>
      </w:pPr>
    </w:p>
    <w:p>
      <w:pPr>
        <w:spacing w:before="107" w:line="221" w:lineRule="auto"/>
        <w:ind w:right="70"/>
        <w:jc w:val="righ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然资函〔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〕719号</w:t>
      </w:r>
    </w:p>
    <w:p>
      <w:pPr>
        <w:spacing w:line="247" w:lineRule="auto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自然资源部关于广州白云国际机场三期扩建 工程建设用地的批复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ind w:left="49"/>
        <w:textAlignment w:val="baseline"/>
        <w:rPr>
          <w:rFonts w:hint="eastAsia" w:ascii="仿宋_GB2312" w:hAnsi="仿宋_GB2312" w:eastAsia="仿宋_GB2312" w:cs="仿宋_GB2312"/>
          <w:spacing w:val="-2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600" w:lineRule="exact"/>
        <w:ind w:left="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东省人民政府：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9" w:line="600" w:lineRule="exact"/>
        <w:ind w:left="49" w:right="108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你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省《关于审批广州白云国际机场三期扩建工程项目用地的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示》(粤府〔2022〕6号)业经国务院批准，现批复如下：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600" w:lineRule="exact"/>
        <w:ind w:left="49" w:right="87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一、同意广州市白云区、天河区、花都区将农民集体所有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用地1402.883公顷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(其中耕地585.8213公顷，含永久基本农田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0.4829公顷)、未利用地57.3445公顷转为建设用地并办理征地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手续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，另征收农民集体所有建设用地207.7517公顷;同意将国有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57.6942公顷(其中耕地17.5282公顷，含永久基本农田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.5258公顷)、未利用地6.532公顷转为建设用地，同时使用国有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建设用地1.7188公顷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" w:line="600" w:lineRule="exact"/>
        <w:ind w:left="49" w:right="101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5"/>
          <w:sz w:val="32"/>
          <w:szCs w:val="32"/>
        </w:rPr>
        <w:t>以上共计批准建设用地1733.9242公顷，由当地人民政府依法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规提供，作为广州白云国际机场三期扩建工程建设用地。当地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然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资源主管部门要及时核发划拨供地文件或签订有偿使用合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</w:rPr>
        <w:t>同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，并上传土地市场监测与监管系统。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49" w:firstLine="62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二、督促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当地人民政府和用地单位切实落实核减的用地(共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核减323.899公顷，其中原有建设用地40.4509公顷、跑道端净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8"/>
          <w:sz w:val="32"/>
          <w:szCs w:val="32"/>
        </w:rPr>
        <w:t>空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保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护及噪音影响区用地44.9708公顷、货站区用地40.8887公顷、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00" w:lineRule="exact"/>
        <w:ind w:left="1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航灯光用地27.1926公顷、航站楼区用地4.7553公顷、综合保障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ind w:left="10" w:right="225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用地13.2653公顷、货机坪区用地9.0821公顷、货代货运配套设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施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地98.1239公顷、场外台站用地6.5094公顷、河涌水系用地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.0601公顷、安置区用地11.5999公顷),进一步完善有关用地方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案，节约集约用地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600" w:lineRule="exact"/>
        <w:ind w:left="10" w:right="224" w:firstLine="6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三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、你省应督促有关县级以上地方人民政府依法落实征地补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偿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用和安置措施，将被征地农民纳入相应的养老等保障体系，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3"/>
          <w:sz w:val="32"/>
          <w:szCs w:val="32"/>
        </w:rPr>
        <w:t>妥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善解决好被征地农民的生产生活，保证原有生活水平不降低，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pacing w:val="-18"/>
          <w:sz w:val="32"/>
          <w:szCs w:val="32"/>
        </w:rPr>
        <w:t>远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生计有保障。征地补偿安置不落实的，不得动工用地。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600" w:lineRule="exact"/>
        <w:ind w:left="10" w:firstLine="6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、你省须落实补充耕地和补划永久基本农田。督促补充耕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地责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任单位认真按照补充耕地方案，补充数量相等、质量相当的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耕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地，落实建设占用耕地耕作层土壤剥离利用。督促有关市县人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民政府落实补划永久基本农田方案，将永久基本农田落实到地块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督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促建设单位依法履行复垦义务。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600" w:lineRule="exact"/>
        <w:ind w:left="10" w:right="218" w:firstLine="649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五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、严格按照国家有关规定缴纳和使用新增建设用地土地有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偿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使用费。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600" w:lineRule="exact"/>
        <w:ind w:left="57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19"/>
          <w:position w:val="15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pacing w:val="-18"/>
          <w:position w:val="15"/>
          <w:sz w:val="32"/>
          <w:szCs w:val="32"/>
        </w:rPr>
        <w:t>然资源部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4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22年6月29日</w:t>
      </w:r>
    </w:p>
    <w:p>
      <w:pPr>
        <w:spacing w:before="153" w:line="324" w:lineRule="auto"/>
        <w:ind w:left="1229" w:right="32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10" w:h="16850"/>
      <w:pgMar w:top="400" w:right="1369" w:bottom="1512" w:left="1680" w:header="0" w:footer="114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2-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4AB7075"/>
    <w:rsid w:val="14B154D8"/>
    <w:rsid w:val="65B81709"/>
    <w:rsid w:val="70BB40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2022-08-04T16:46:00Z</dcterms:created>
  <dc:creator>Kingsoft-PDF</dc:creator>
  <cp:keywords>62eb87411d1b040015dbfe96</cp:keywords>
  <cp:lastModifiedBy>NTKO</cp:lastModifiedBy>
  <dcterms:modified xsi:type="dcterms:W3CDTF">2022-08-08T05:54:15Z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2022-08-04T16:46:03Z</vt:filetime>
  </property>
  <property fmtid="{D5CDD505-2E9C-101B-9397-08002B2CF9AE}" pid="4" name="KSOProductBuildVer">
    <vt:lpwstr>2052-11.8.2.8959</vt:lpwstr>
  </property>
</Properties>
</file>