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val="en-US" w:eastAsia="zh-CN"/>
        </w:rPr>
        <w:t>天河区少年宫新校区建设工程（优化调整）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7E0A"/>
    <w:rsid w:val="638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2022-07-21T08:42:00Z</dcterms:created>
  <dc:creator>区发展改革局</dc:creator>
  <cp:lastModifiedBy>区发展改革局</cp:lastModifiedBy>
  <dcterms:modified xsi:type="dcterms:W3CDTF">2022-07-21T08:42:48Z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