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bookmarkStart w:id="0" w:name="_Toc24724722"/>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2-19</w:t>
      </w:r>
      <w:bookmarkStart w:id="1" w:name="_GoBack"/>
      <w:bookmarkEnd w:id="1"/>
    </w:p>
    <w:p>
      <w:pPr>
        <w:pStyle w:val="2"/>
        <w:keepNext/>
        <w:keepLines/>
        <w:pageBreakBefore w:val="0"/>
        <w:widowControl w:val="0"/>
        <w:kinsoku/>
        <w:wordWrap/>
        <w:overflowPunct/>
        <w:topLinePunct w:val="0"/>
        <w:autoSpaceDE/>
        <w:autoSpaceDN/>
        <w:bidi w:val="0"/>
        <w:adjustRightInd/>
        <w:snapToGrid/>
        <w:spacing w:before="340" w:after="33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val="0"/>
          <w:sz w:val="40"/>
          <w:szCs w:val="40"/>
        </w:rPr>
      </w:pPr>
      <w:r>
        <w:rPr>
          <w:rFonts w:hint="eastAsia" w:ascii="方正小标宋_GBK" w:hAnsi="方正小标宋_GBK" w:eastAsia="方正小标宋_GBK" w:cs="方正小标宋_GBK"/>
          <w:b w:val="0"/>
          <w:bCs w:val="0"/>
          <w:sz w:val="40"/>
          <w:szCs w:val="40"/>
        </w:rPr>
        <w:t>涉农补贴领域基层政务公开标准目录</w:t>
      </w:r>
      <w:bookmarkEnd w:id="0"/>
      <w:r>
        <w:rPr>
          <w:rFonts w:hint="eastAsia" w:ascii="方正小标宋_GBK" w:hAnsi="方正小标宋_GBK" w:eastAsia="方正小标宋_GBK" w:cs="方正小标宋_GBK"/>
          <w:b w:val="0"/>
          <w:bCs w:val="0"/>
          <w:sz w:val="40"/>
          <w:szCs w:val="40"/>
          <w:lang w:eastAsia="zh-CN"/>
        </w:rPr>
        <w:t>（</w:t>
      </w:r>
      <w:r>
        <w:rPr>
          <w:rFonts w:hint="eastAsia" w:ascii="方正小标宋_GBK" w:hAnsi="方正小标宋_GBK" w:eastAsia="方正小标宋_GBK" w:cs="方正小标宋_GBK"/>
          <w:b w:val="0"/>
          <w:bCs w:val="0"/>
          <w:sz w:val="40"/>
          <w:szCs w:val="40"/>
          <w:lang w:val="en-US" w:eastAsia="zh-CN"/>
        </w:rPr>
        <w:t>区农业农村局</w:t>
      </w:r>
      <w:r>
        <w:rPr>
          <w:rFonts w:hint="eastAsia" w:ascii="方正小标宋_GBK" w:hAnsi="方正小标宋_GBK" w:eastAsia="方正小标宋_GBK" w:cs="方正小标宋_GBK"/>
          <w:b w:val="0"/>
          <w:bCs w:val="0"/>
          <w:sz w:val="40"/>
          <w:szCs w:val="40"/>
          <w:lang w:eastAsia="zh-CN"/>
        </w:rPr>
        <w:t>）</w:t>
      </w:r>
    </w:p>
    <w:tbl>
      <w:tblPr>
        <w:tblStyle w:val="8"/>
        <w:tblW w:w="15300" w:type="dxa"/>
        <w:tblInd w:w="-664" w:type="dxa"/>
        <w:tblLayout w:type="fixed"/>
        <w:tblCellMar>
          <w:top w:w="0" w:type="dxa"/>
          <w:left w:w="108" w:type="dxa"/>
          <w:bottom w:w="0" w:type="dxa"/>
          <w:right w:w="108" w:type="dxa"/>
        </w:tblCellMar>
      </w:tblPr>
      <w:tblGrid>
        <w:gridCol w:w="540"/>
        <w:gridCol w:w="439"/>
        <w:gridCol w:w="585"/>
        <w:gridCol w:w="596"/>
        <w:gridCol w:w="2074"/>
        <w:gridCol w:w="3146"/>
        <w:gridCol w:w="1260"/>
        <w:gridCol w:w="1260"/>
        <w:gridCol w:w="725"/>
        <w:gridCol w:w="715"/>
        <w:gridCol w:w="312"/>
        <w:gridCol w:w="408"/>
        <w:gridCol w:w="411"/>
        <w:gridCol w:w="298"/>
        <w:gridCol w:w="11"/>
        <w:gridCol w:w="540"/>
        <w:gridCol w:w="320"/>
        <w:gridCol w:w="400"/>
        <w:gridCol w:w="720"/>
        <w:gridCol w:w="540"/>
      </w:tblGrid>
      <w:tr>
        <w:tblPrEx>
          <w:tblLayout w:type="fixed"/>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0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42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Times New Roman" w:eastAsia="黑体"/>
                <w:color w:val="000000"/>
                <w:kern w:val="0"/>
                <w:sz w:val="22"/>
              </w:rPr>
            </w:pPr>
          </w:p>
        </w:tc>
        <w:tc>
          <w:tcPr>
            <w:tcW w:w="10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596"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0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宋体" w:eastAsia="黑体" w:cs="宋体"/>
                <w:color w:val="000000"/>
                <w:kern w:val="0"/>
                <w:sz w:val="22"/>
              </w:rPr>
            </w:pPr>
          </w:p>
        </w:tc>
        <w:tc>
          <w:tcPr>
            <w:tcW w:w="3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宋体" w:eastAsia="黑体" w:cs="宋体"/>
                <w:color w:val="000000"/>
                <w:kern w:val="0"/>
                <w:sz w:val="22"/>
              </w:rPr>
            </w:pP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黑体" w:hAnsi="宋体" w:eastAsia="黑体" w:cs="宋体"/>
                <w:kern w:val="0"/>
                <w:sz w:val="22"/>
              </w:rPr>
            </w:pP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乡级</w:t>
            </w:r>
          </w:p>
        </w:tc>
      </w:tr>
      <w:tr>
        <w:tblPrEx>
          <w:tblLayout w:type="fixed"/>
          <w:tblCellMar>
            <w:top w:w="0" w:type="dxa"/>
            <w:left w:w="108" w:type="dxa"/>
            <w:bottom w:w="0" w:type="dxa"/>
            <w:right w:w="108" w:type="dxa"/>
          </w:tblCellMar>
        </w:tblPrEx>
        <w:trPr>
          <w:cantSplit/>
          <w:trHeight w:val="261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w:t>
            </w: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596"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耕地地力保护</w:t>
            </w:r>
          </w:p>
        </w:tc>
        <w:tc>
          <w:tcPr>
            <w:tcW w:w="2074" w:type="dxa"/>
            <w:tcBorders>
              <w:top w:val="single" w:color="auto" w:sz="4" w:space="0"/>
              <w:left w:val="nil"/>
              <w:bottom w:val="single" w:color="auto" w:sz="4" w:space="0"/>
              <w:right w:val="single" w:color="auto" w:sz="4" w:space="0"/>
            </w:tcBorders>
            <w:shd w:val="clear" w:color="auto" w:fill="auto"/>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3146" w:type="dxa"/>
            <w:tcBorders>
              <w:top w:val="single" w:color="auto" w:sz="4" w:space="0"/>
              <w:left w:val="nil"/>
              <w:bottom w:val="single" w:color="auto" w:sz="4" w:space="0"/>
              <w:right w:val="single" w:color="auto" w:sz="4" w:space="0"/>
            </w:tcBorders>
            <w:shd w:val="clear" w:color="auto" w:fill="auto"/>
            <w:vAlign w:val="top"/>
          </w:tcPr>
          <w:p>
            <w:pP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财政部 农业部关于印发</w:t>
            </w:r>
            <w:r>
              <w:rPr>
                <w:rFonts w:hint="eastAsia" w:ascii="仿宋_GB2312" w:hAnsi="Times New Roman" w:eastAsia="仿宋_GB2312"/>
                <w:sz w:val="18"/>
                <w:szCs w:val="18"/>
                <w:lang w:val="en-US" w:eastAsia="zh-CN"/>
              </w:rPr>
              <w:t>&lt;</w:t>
            </w:r>
            <w:r>
              <w:rPr>
                <w:rFonts w:hint="eastAsia" w:ascii="仿宋_GB2312" w:hAnsi="Times New Roman" w:eastAsia="仿宋_GB2312"/>
                <w:sz w:val="18"/>
                <w:szCs w:val="18"/>
              </w:rPr>
              <w:t>农业生产发展资金管理办法</w:t>
            </w:r>
            <w:r>
              <w:rPr>
                <w:rFonts w:hint="eastAsia" w:ascii="仿宋_GB2312" w:hAnsi="Times New Roman" w:eastAsia="仿宋_GB2312"/>
                <w:sz w:val="18"/>
                <w:szCs w:val="18"/>
                <w:lang w:val="en-US" w:eastAsia="zh-CN"/>
              </w:rPr>
              <w:t>&gt;</w:t>
            </w:r>
            <w:r>
              <w:rPr>
                <w:rFonts w:hint="eastAsia" w:ascii="仿宋_GB2312" w:hAnsi="Times New Roman" w:eastAsia="仿宋_GB2312"/>
                <w:sz w:val="18"/>
                <w:szCs w:val="18"/>
              </w:rPr>
              <w:t>的通知》《财政部 农业部关于全面推开农业“三项补贴”改革工作的通知》</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财农〔2016〕26号</w:t>
            </w:r>
            <w:r>
              <w:rPr>
                <w:rFonts w:hint="eastAsia" w:ascii="仿宋_GB2312" w:hAnsi="Times New Roman" w:eastAsia="仿宋_GB2312"/>
                <w:sz w:val="18"/>
                <w:szCs w:val="18"/>
                <w:lang w:eastAsia="zh-CN"/>
              </w:rPr>
              <w:t>）</w:t>
            </w:r>
          </w:p>
        </w:tc>
        <w:tc>
          <w:tcPr>
            <w:tcW w:w="1260" w:type="dxa"/>
            <w:tcBorders>
              <w:top w:val="single" w:color="auto" w:sz="4" w:space="0"/>
              <w:left w:val="nil"/>
              <w:bottom w:val="single" w:color="auto" w:sz="4" w:space="0"/>
              <w:right w:val="single" w:color="auto" w:sz="4" w:space="0"/>
            </w:tcBorders>
            <w:shd w:val="clear" w:color="auto" w:fill="auto"/>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hint="eastAsia" w:ascii="仿宋_GB2312" w:hAnsi="Times New Roman" w:eastAsia="仿宋_GB2312"/>
                <w:sz w:val="18"/>
                <w:szCs w:val="18"/>
              </w:rPr>
            </w:pPr>
          </w:p>
        </w:tc>
        <w:tc>
          <w:tcPr>
            <w:tcW w:w="1440" w:type="dxa"/>
            <w:gridSpan w:val="2"/>
            <w:tcBorders>
              <w:top w:val="single" w:color="auto" w:sz="4" w:space="0"/>
              <w:left w:val="nil"/>
              <w:bottom w:val="single" w:color="auto" w:sz="4" w:space="0"/>
              <w:right w:val="single" w:color="auto" w:sz="4" w:space="0"/>
            </w:tcBorders>
            <w:shd w:val="clear" w:color="auto" w:fill="auto"/>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2</w:t>
            </w: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596"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新型职业农民培育</w:t>
            </w:r>
          </w:p>
        </w:tc>
        <w:tc>
          <w:tcPr>
            <w:tcW w:w="2074" w:type="dxa"/>
            <w:tcBorders>
              <w:top w:val="single" w:color="auto" w:sz="4" w:space="0"/>
              <w:left w:val="nil"/>
              <w:bottom w:val="single" w:color="auto" w:sz="4" w:space="0"/>
              <w:right w:val="single" w:color="auto" w:sz="4" w:space="0"/>
            </w:tcBorders>
            <w:shd w:val="clear" w:color="auto" w:fill="auto"/>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3146" w:type="dxa"/>
            <w:tcBorders>
              <w:top w:val="single" w:color="auto" w:sz="4" w:space="0"/>
              <w:left w:val="nil"/>
              <w:bottom w:val="single" w:color="auto" w:sz="4" w:space="0"/>
              <w:right w:val="single" w:color="auto" w:sz="4" w:space="0"/>
            </w:tcBorders>
            <w:shd w:val="clear" w:color="auto" w:fill="auto"/>
            <w:vAlign w:val="top"/>
          </w:tcPr>
          <w:p>
            <w:pPr>
              <w:rPr>
                <w:rFonts w:hint="eastAsia" w:ascii="仿宋_GB2312" w:hAnsi="Times New Roman" w:eastAsia="仿宋_GB2312"/>
                <w:sz w:val="18"/>
                <w:szCs w:val="18"/>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中共中央办公厅</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rPr>
              <w:t>国务院办公厅印发〈关于引导农村土地经营权有序流转发展农业适度规模经营的意见〉的通知</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《国务院办公厅关于支持返乡下乡人员创业创新促进农村一二三产业融合发展的意见》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国办发〔2016〕84号</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财政部 农业部关于印发</w:t>
            </w:r>
            <w:r>
              <w:rPr>
                <w:rFonts w:hint="eastAsia" w:ascii="仿宋_GB2312" w:hAnsi="Times New Roman" w:eastAsia="仿宋_GB2312"/>
                <w:sz w:val="18"/>
                <w:szCs w:val="18"/>
                <w:lang w:val="en-US" w:eastAsia="zh-CN"/>
              </w:rPr>
              <w:t>&lt;</w:t>
            </w:r>
            <w:r>
              <w:rPr>
                <w:rFonts w:hint="eastAsia" w:ascii="仿宋_GB2312" w:hAnsi="Times New Roman" w:eastAsia="仿宋_GB2312"/>
                <w:sz w:val="18"/>
                <w:szCs w:val="18"/>
              </w:rPr>
              <w:t>农业生产发展资金管理办法</w:t>
            </w:r>
            <w:r>
              <w:rPr>
                <w:rFonts w:hint="eastAsia" w:ascii="仿宋_GB2312" w:hAnsi="Times New Roman" w:eastAsia="仿宋_GB2312"/>
                <w:sz w:val="18"/>
                <w:szCs w:val="18"/>
                <w:lang w:val="en-US" w:eastAsia="zh-CN"/>
              </w:rPr>
              <w:t>&gt;</w:t>
            </w:r>
            <w:r>
              <w:rPr>
                <w:rFonts w:hint="eastAsia" w:ascii="仿宋_GB2312" w:hAnsi="Times New Roman" w:eastAsia="仿宋_GB2312"/>
                <w:sz w:val="18"/>
                <w:szCs w:val="18"/>
              </w:rPr>
              <w:t>的通知》《农业部关于印发</w:t>
            </w:r>
            <w:r>
              <w:rPr>
                <w:rFonts w:hint="eastAsia" w:ascii="仿宋_GB2312" w:hAnsi="Times New Roman" w:eastAsia="仿宋_GB2312"/>
                <w:sz w:val="18"/>
                <w:szCs w:val="18"/>
                <w:lang w:val="en-US" w:eastAsia="zh-CN"/>
              </w:rPr>
              <w:t>&lt;</w:t>
            </w:r>
            <w:r>
              <w:rPr>
                <w:rFonts w:hint="eastAsia" w:ascii="仿宋_GB2312" w:hAnsi="Times New Roman" w:eastAsia="仿宋_GB2312"/>
                <w:sz w:val="18"/>
                <w:szCs w:val="18"/>
              </w:rPr>
              <w:t>“十三五”全国新型职业农民培育发展规划</w:t>
            </w:r>
            <w:r>
              <w:rPr>
                <w:rFonts w:hint="eastAsia" w:ascii="仿宋_GB2312" w:hAnsi="Times New Roman" w:eastAsia="仿宋_GB2312"/>
                <w:sz w:val="18"/>
                <w:szCs w:val="18"/>
                <w:lang w:val="en-US" w:eastAsia="zh-CN"/>
              </w:rPr>
              <w:t>&gt;</w:t>
            </w:r>
            <w:r>
              <w:rPr>
                <w:rFonts w:hint="eastAsia" w:ascii="仿宋_GB2312" w:hAnsi="Times New Roman" w:eastAsia="仿宋_GB2312"/>
                <w:sz w:val="18"/>
                <w:szCs w:val="18"/>
              </w:rPr>
              <w:t>的通知》</w:t>
            </w:r>
          </w:p>
        </w:tc>
        <w:tc>
          <w:tcPr>
            <w:tcW w:w="1260" w:type="dxa"/>
            <w:tcBorders>
              <w:top w:val="single" w:color="auto" w:sz="4" w:space="0"/>
              <w:left w:val="nil"/>
              <w:bottom w:val="single" w:color="auto" w:sz="4" w:space="0"/>
              <w:right w:val="single" w:color="auto" w:sz="4" w:space="0"/>
            </w:tcBorders>
            <w:shd w:val="clear" w:color="auto" w:fill="auto"/>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hint="eastAsia" w:ascii="仿宋_GB2312" w:hAnsi="Times New Roman" w:eastAsia="仿宋_GB2312"/>
                <w:sz w:val="18"/>
                <w:szCs w:val="18"/>
              </w:rPr>
            </w:pPr>
          </w:p>
        </w:tc>
        <w:tc>
          <w:tcPr>
            <w:tcW w:w="1440" w:type="dxa"/>
            <w:gridSpan w:val="2"/>
            <w:tcBorders>
              <w:top w:val="single" w:color="auto" w:sz="4" w:space="0"/>
              <w:left w:val="nil"/>
              <w:bottom w:val="single" w:color="auto" w:sz="4" w:space="0"/>
              <w:right w:val="single" w:color="auto" w:sz="4" w:space="0"/>
            </w:tcBorders>
            <w:shd w:val="clear" w:color="auto" w:fill="auto"/>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Layout w:type="fixed"/>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olor w:val="000000"/>
                <w:sz w:val="18"/>
                <w:szCs w:val="18"/>
                <w:lang w:val="en-US" w:eastAsia="zh-CN"/>
              </w:rPr>
            </w:pPr>
            <w:r>
              <w:rPr>
                <w:rFonts w:hint="eastAsia" w:ascii="黑体" w:hAnsi="宋体" w:eastAsia="黑体"/>
                <w:color w:val="000000"/>
                <w:kern w:val="0"/>
                <w:sz w:val="22"/>
              </w:rPr>
              <w:t>序号</w:t>
            </w: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sz w:val="18"/>
                <w:szCs w:val="18"/>
              </w:rPr>
            </w:pPr>
            <w:r>
              <w:rPr>
                <w:rFonts w:hint="eastAsia" w:ascii="黑体" w:hAnsi="宋体" w:eastAsia="黑体" w:cs="宋体"/>
                <w:color w:val="000000"/>
                <w:kern w:val="0"/>
                <w:sz w:val="22"/>
              </w:rPr>
              <w:t>公开事项</w:t>
            </w:r>
          </w:p>
        </w:tc>
        <w:tc>
          <w:tcPr>
            <w:tcW w:w="596"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sz w:val="18"/>
                <w:szCs w:val="18"/>
              </w:rPr>
            </w:pPr>
            <w:r>
              <w:rPr>
                <w:rFonts w:hint="eastAsia" w:ascii="黑体" w:hAnsi="宋体" w:eastAsia="黑体" w:cs="宋体"/>
                <w:color w:val="000000"/>
                <w:kern w:val="0"/>
                <w:sz w:val="22"/>
              </w:rPr>
              <w:t>公开内容（要素）</w:t>
            </w:r>
          </w:p>
        </w:tc>
        <w:tc>
          <w:tcPr>
            <w:tcW w:w="2074"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sz w:val="18"/>
                <w:szCs w:val="18"/>
              </w:rPr>
            </w:pPr>
            <w:r>
              <w:rPr>
                <w:rFonts w:hint="eastAsia" w:ascii="黑体" w:hAnsi="宋体" w:eastAsia="黑体" w:cs="宋体"/>
                <w:color w:val="000000"/>
                <w:kern w:val="0"/>
                <w:sz w:val="22"/>
              </w:rPr>
              <w:t>公开依据</w:t>
            </w:r>
          </w:p>
        </w:tc>
        <w:tc>
          <w:tcPr>
            <w:tcW w:w="3146"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sz w:val="18"/>
                <w:szCs w:val="18"/>
                <w:lang w:eastAsia="zh-CN"/>
              </w:rPr>
            </w:pPr>
            <w:r>
              <w:rPr>
                <w:rFonts w:hint="eastAsia" w:ascii="黑体" w:hAnsi="宋体" w:eastAsia="黑体" w:cs="宋体"/>
                <w:color w:val="000000"/>
                <w:kern w:val="0"/>
                <w:sz w:val="22"/>
              </w:rPr>
              <w:t>公开时限</w:t>
            </w:r>
          </w:p>
        </w:tc>
        <w:tc>
          <w:tcPr>
            <w:tcW w:w="1260"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sz w:val="18"/>
                <w:szCs w:val="18"/>
              </w:rPr>
            </w:pPr>
            <w:r>
              <w:rPr>
                <w:rFonts w:hint="eastAsia" w:ascii="黑体" w:hAnsi="宋体" w:eastAsia="黑体" w:cs="宋体"/>
                <w:color w:val="000000"/>
                <w:kern w:val="0"/>
                <w:sz w:val="22"/>
              </w:rPr>
              <w:t>公开主体</w:t>
            </w:r>
          </w:p>
        </w:tc>
        <w:tc>
          <w:tcPr>
            <w:tcW w:w="1260"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Times New Roman" w:eastAsia="仿宋_GB2312"/>
                <w:sz w:val="18"/>
                <w:szCs w:val="18"/>
              </w:rPr>
            </w:pPr>
            <w:r>
              <w:rPr>
                <w:rFonts w:hint="eastAsia" w:ascii="黑体" w:hAnsi="宋体" w:eastAsia="黑体" w:cs="宋体"/>
                <w:kern w:val="0"/>
                <w:sz w:val="22"/>
              </w:rPr>
              <w:t>公开渠道和载体</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sz w:val="18"/>
                <w:szCs w:val="18"/>
              </w:rPr>
            </w:pPr>
            <w:r>
              <w:rPr>
                <w:rFonts w:hint="eastAsia" w:ascii="黑体" w:hAnsi="宋体" w:eastAsia="黑体" w:cs="宋体"/>
                <w:color w:val="000000"/>
                <w:kern w:val="0"/>
                <w:sz w:val="22"/>
              </w:rPr>
              <w:t>公开对象</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olor w:val="000000"/>
                <w:sz w:val="18"/>
                <w:szCs w:val="18"/>
              </w:rPr>
            </w:pPr>
            <w:r>
              <w:rPr>
                <w:rFonts w:hint="eastAsia" w:ascii="黑体" w:hAnsi="宋体" w:eastAsia="黑体" w:cs="宋体"/>
                <w:color w:val="000000"/>
                <w:kern w:val="0"/>
                <w:sz w:val="22"/>
              </w:rPr>
              <w:t>公开方式</w:t>
            </w:r>
          </w:p>
        </w:tc>
        <w:tc>
          <w:tcPr>
            <w:tcW w:w="7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olor w:val="000000"/>
                <w:sz w:val="18"/>
                <w:szCs w:val="18"/>
              </w:rPr>
            </w:pPr>
            <w:r>
              <w:rPr>
                <w:rFonts w:hint="eastAsia" w:ascii="黑体" w:hAnsi="宋体" w:eastAsia="黑体" w:cs="宋体"/>
                <w:color w:val="000000"/>
                <w:kern w:val="0"/>
                <w:sz w:val="22"/>
              </w:rPr>
              <w:t>公开层级</w:t>
            </w:r>
          </w:p>
        </w:tc>
        <w:tc>
          <w:tcPr>
            <w:tcW w:w="540"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olor w:val="000000"/>
                <w:sz w:val="18"/>
                <w:szCs w:val="18"/>
              </w:rPr>
            </w:pPr>
            <w:r>
              <w:rPr>
                <w:rFonts w:hint="eastAsia" w:ascii="黑体" w:hAnsi="宋体" w:eastAsia="黑体"/>
                <w:color w:val="000000"/>
                <w:kern w:val="0"/>
                <w:sz w:val="22"/>
              </w:rPr>
              <w:t>序号</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olor w:val="000000"/>
                <w:sz w:val="18"/>
                <w:szCs w:val="18"/>
              </w:rPr>
            </w:pPr>
            <w:r>
              <w:rPr>
                <w:rFonts w:hint="eastAsia" w:ascii="黑体" w:hAnsi="宋体" w:eastAsia="黑体" w:cs="宋体"/>
                <w:color w:val="000000"/>
                <w:kern w:val="0"/>
                <w:sz w:val="22"/>
              </w:rPr>
              <w:t>公开事项</w:t>
            </w:r>
          </w:p>
        </w:tc>
        <w:tc>
          <w:tcPr>
            <w:tcW w:w="720"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olor w:val="000000"/>
                <w:sz w:val="18"/>
                <w:szCs w:val="18"/>
              </w:rPr>
            </w:pPr>
            <w:r>
              <w:rPr>
                <w:rFonts w:hint="eastAsia" w:ascii="黑体" w:hAnsi="宋体" w:eastAsia="黑体" w:cs="宋体"/>
                <w:color w:val="000000"/>
                <w:kern w:val="0"/>
                <w:sz w:val="22"/>
              </w:rPr>
              <w:t>公开内容（要素）</w:t>
            </w:r>
          </w:p>
        </w:tc>
        <w:tc>
          <w:tcPr>
            <w:tcW w:w="540"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olor w:val="000000"/>
                <w:sz w:val="18"/>
                <w:szCs w:val="18"/>
              </w:rPr>
            </w:pPr>
            <w:r>
              <w:rPr>
                <w:rFonts w:hint="eastAsia" w:ascii="黑体" w:hAnsi="宋体" w:eastAsia="黑体" w:cs="宋体"/>
                <w:color w:val="000000"/>
                <w:kern w:val="0"/>
                <w:sz w:val="22"/>
              </w:rPr>
              <w:t>公开依据</w:t>
            </w:r>
          </w:p>
        </w:tc>
      </w:tr>
      <w:tr>
        <w:tblPrEx>
          <w:tblLayout w:type="fixed"/>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olor w:val="000000"/>
                <w:sz w:val="18"/>
                <w:szCs w:val="18"/>
                <w:lang w:val="en-US" w:eastAsia="zh-CN"/>
              </w:rPr>
            </w:pP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sz w:val="18"/>
                <w:szCs w:val="18"/>
              </w:rPr>
            </w:pPr>
            <w:r>
              <w:rPr>
                <w:rFonts w:hint="eastAsia" w:ascii="黑体" w:hAnsi="宋体" w:eastAsia="黑体" w:cs="宋体"/>
                <w:color w:val="000000"/>
                <w:kern w:val="0"/>
                <w:sz w:val="22"/>
              </w:rPr>
              <w:t>一级事项</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ascii="黑体" w:hAnsi="宋体" w:eastAsia="黑体" w:cs="宋体"/>
                <w:color w:val="000000"/>
                <w:kern w:val="0"/>
                <w:sz w:val="22"/>
              </w:rPr>
              <w:t>二级事项</w:t>
            </w:r>
          </w:p>
        </w:tc>
        <w:tc>
          <w:tcPr>
            <w:tcW w:w="596"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Times New Roman" w:eastAsia="仿宋_GB2312"/>
                <w:sz w:val="18"/>
                <w:szCs w:val="18"/>
              </w:rPr>
            </w:pPr>
          </w:p>
        </w:tc>
        <w:tc>
          <w:tcPr>
            <w:tcW w:w="2074"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Times New Roman" w:eastAsia="仿宋_GB2312"/>
                <w:sz w:val="18"/>
                <w:szCs w:val="18"/>
              </w:rPr>
            </w:pPr>
          </w:p>
        </w:tc>
        <w:tc>
          <w:tcPr>
            <w:tcW w:w="3146"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Times New Roman" w:eastAsia="仿宋_GB2312"/>
                <w:sz w:val="18"/>
                <w:szCs w:val="18"/>
                <w:lang w:eastAsia="zh-CN"/>
              </w:rPr>
            </w:pPr>
          </w:p>
        </w:tc>
        <w:tc>
          <w:tcPr>
            <w:tcW w:w="126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Times New Roman" w:eastAsia="仿宋_GB2312"/>
                <w:sz w:val="18"/>
                <w:szCs w:val="18"/>
              </w:rPr>
            </w:pPr>
          </w:p>
        </w:tc>
        <w:tc>
          <w:tcPr>
            <w:tcW w:w="126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Times New Roman" w:eastAsia="仿宋_GB2312"/>
                <w:sz w:val="18"/>
                <w:szCs w:val="18"/>
              </w:rPr>
            </w:pPr>
          </w:p>
        </w:tc>
        <w:tc>
          <w:tcPr>
            <w:tcW w:w="7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sz w:val="18"/>
                <w:szCs w:val="18"/>
              </w:rPr>
            </w:pPr>
            <w:r>
              <w:rPr>
                <w:rFonts w:hint="eastAsia" w:ascii="黑体" w:hAnsi="宋体" w:eastAsia="黑体" w:cs="宋体"/>
                <w:color w:val="000000"/>
                <w:kern w:val="0"/>
                <w:sz w:val="22"/>
              </w:rPr>
              <w:t>全社会</w:t>
            </w:r>
          </w:p>
        </w:tc>
        <w:tc>
          <w:tcPr>
            <w:tcW w:w="715"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ascii="黑体" w:hAnsi="宋体" w:eastAsia="黑体" w:cs="宋体"/>
                <w:color w:val="000000"/>
                <w:kern w:val="0"/>
                <w:sz w:val="22"/>
              </w:rPr>
              <w:t>特定群众</w:t>
            </w:r>
          </w:p>
        </w:tc>
        <w:tc>
          <w:tcPr>
            <w:tcW w:w="3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olor w:val="000000"/>
                <w:sz w:val="18"/>
                <w:szCs w:val="18"/>
              </w:rPr>
            </w:pPr>
            <w:r>
              <w:rPr>
                <w:rFonts w:hint="eastAsia" w:ascii="黑体" w:hAnsi="宋体" w:eastAsia="黑体" w:cs="宋体"/>
                <w:color w:val="000000"/>
                <w:kern w:val="0"/>
                <w:sz w:val="22"/>
              </w:rPr>
              <w:t>主动</w:t>
            </w:r>
          </w:p>
        </w:tc>
        <w:tc>
          <w:tcPr>
            <w:tcW w:w="408"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ascii="黑体" w:hAnsi="宋体" w:eastAsia="黑体" w:cs="宋体"/>
                <w:color w:val="000000"/>
                <w:kern w:val="0"/>
                <w:sz w:val="22"/>
              </w:rPr>
              <w:t>依申请公开</w:t>
            </w:r>
          </w:p>
        </w:tc>
        <w:tc>
          <w:tcPr>
            <w:tcW w:w="4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olor w:val="000000"/>
                <w:sz w:val="18"/>
                <w:szCs w:val="18"/>
              </w:rPr>
            </w:pPr>
            <w:r>
              <w:rPr>
                <w:rFonts w:hint="eastAsia" w:ascii="黑体" w:hAnsi="宋体" w:eastAsia="黑体" w:cs="宋体"/>
                <w:color w:val="000000"/>
                <w:kern w:val="0"/>
                <w:sz w:val="22"/>
              </w:rPr>
              <w:t>县级</w:t>
            </w:r>
          </w:p>
        </w:tc>
        <w:tc>
          <w:tcPr>
            <w:tcW w:w="3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ascii="黑体" w:hAnsi="宋体" w:eastAsia="黑体" w:cs="宋体"/>
                <w:color w:val="000000"/>
                <w:kern w:val="0"/>
                <w:sz w:val="22"/>
              </w:rPr>
              <w:t>乡级</w:t>
            </w:r>
          </w:p>
        </w:tc>
        <w:tc>
          <w:tcPr>
            <w:tcW w:w="54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olor w:val="000000"/>
                <w:sz w:val="18"/>
                <w:szCs w:val="18"/>
              </w:rPr>
            </w:pPr>
          </w:p>
        </w:tc>
        <w:tc>
          <w:tcPr>
            <w:tcW w:w="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olor w:val="000000"/>
                <w:sz w:val="18"/>
                <w:szCs w:val="18"/>
              </w:rPr>
            </w:pPr>
            <w:r>
              <w:rPr>
                <w:rFonts w:hint="eastAsia" w:ascii="黑体" w:hAnsi="宋体" w:eastAsia="黑体" w:cs="宋体"/>
                <w:color w:val="000000"/>
                <w:kern w:val="0"/>
                <w:sz w:val="22"/>
              </w:rPr>
              <w:t>一级事项</w:t>
            </w:r>
          </w:p>
        </w:tc>
        <w:tc>
          <w:tcPr>
            <w:tcW w:w="400"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ascii="黑体" w:hAnsi="宋体" w:eastAsia="黑体" w:cs="宋体"/>
                <w:color w:val="000000"/>
                <w:kern w:val="0"/>
                <w:sz w:val="22"/>
              </w:rPr>
              <w:t>二级事项</w:t>
            </w:r>
          </w:p>
        </w:tc>
        <w:tc>
          <w:tcPr>
            <w:tcW w:w="72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olor w:val="000000"/>
                <w:sz w:val="18"/>
                <w:szCs w:val="18"/>
              </w:rPr>
            </w:pPr>
          </w:p>
        </w:tc>
        <w:tc>
          <w:tcPr>
            <w:tcW w:w="540"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olor w:val="000000"/>
                <w:sz w:val="18"/>
                <w:szCs w:val="18"/>
              </w:rPr>
            </w:pPr>
          </w:p>
        </w:tc>
      </w:tr>
      <w:tr>
        <w:tblPrEx>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3</w:t>
            </w: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农业生产发展资金</w:t>
            </w:r>
          </w:p>
        </w:tc>
        <w:tc>
          <w:tcPr>
            <w:tcW w:w="596"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支持新型农业经营主体</w:t>
            </w:r>
          </w:p>
        </w:tc>
        <w:tc>
          <w:tcPr>
            <w:tcW w:w="2074" w:type="dxa"/>
            <w:tcBorders>
              <w:top w:val="single" w:color="auto" w:sz="4" w:space="0"/>
              <w:left w:val="nil"/>
              <w:bottom w:val="single" w:color="auto" w:sz="4" w:space="0"/>
              <w:right w:val="single" w:color="auto" w:sz="4" w:space="0"/>
            </w:tcBorders>
            <w:shd w:val="clear" w:color="auto" w:fill="auto"/>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3146" w:type="dxa"/>
            <w:tcBorders>
              <w:top w:val="single" w:color="auto" w:sz="4" w:space="0"/>
              <w:left w:val="nil"/>
              <w:bottom w:val="single" w:color="auto" w:sz="4" w:space="0"/>
              <w:right w:val="single" w:color="auto" w:sz="4" w:space="0"/>
            </w:tcBorders>
            <w:shd w:val="clear" w:color="auto" w:fill="auto"/>
            <w:vAlign w:val="top"/>
          </w:tcPr>
          <w:p>
            <w:pPr>
              <w:rPr>
                <w:rFonts w:hint="eastAsia" w:ascii="仿宋_GB2312" w:hAnsi="Times New Roman" w:eastAsia="仿宋_GB2312"/>
                <w:sz w:val="18"/>
                <w:szCs w:val="18"/>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财政部 农业部关于印发</w:t>
            </w:r>
            <w:r>
              <w:rPr>
                <w:rFonts w:hint="eastAsia" w:ascii="仿宋_GB2312" w:hAnsi="Times New Roman" w:eastAsia="仿宋_GB2312"/>
                <w:sz w:val="18"/>
                <w:szCs w:val="18"/>
                <w:lang w:val="en-US" w:eastAsia="zh-CN"/>
              </w:rPr>
              <w:t>&lt;</w:t>
            </w:r>
            <w:r>
              <w:rPr>
                <w:rFonts w:hint="eastAsia" w:ascii="仿宋_GB2312" w:hAnsi="Times New Roman" w:eastAsia="仿宋_GB2312"/>
                <w:sz w:val="18"/>
                <w:szCs w:val="18"/>
              </w:rPr>
              <w:t>农业生产发展资金管理办法</w:t>
            </w:r>
            <w:r>
              <w:rPr>
                <w:rFonts w:hint="eastAsia" w:ascii="仿宋_GB2312" w:hAnsi="Times New Roman" w:eastAsia="仿宋_GB2312"/>
                <w:sz w:val="18"/>
                <w:szCs w:val="18"/>
                <w:lang w:val="en-US" w:eastAsia="zh-CN"/>
              </w:rPr>
              <w:t>&gt;</w:t>
            </w:r>
            <w:r>
              <w:rPr>
                <w:rFonts w:hint="eastAsia" w:ascii="仿宋_GB2312" w:hAnsi="Times New Roman" w:eastAsia="仿宋_GB2312"/>
                <w:sz w:val="18"/>
                <w:szCs w:val="18"/>
              </w:rPr>
              <w:t>的通知》</w:t>
            </w:r>
          </w:p>
        </w:tc>
        <w:tc>
          <w:tcPr>
            <w:tcW w:w="1260" w:type="dxa"/>
            <w:tcBorders>
              <w:top w:val="single" w:color="auto" w:sz="4" w:space="0"/>
              <w:left w:val="nil"/>
              <w:bottom w:val="single" w:color="auto" w:sz="4" w:space="0"/>
              <w:right w:val="single" w:color="auto" w:sz="4" w:space="0"/>
            </w:tcBorders>
            <w:shd w:val="clear" w:color="auto" w:fill="auto"/>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hint="eastAsia" w:ascii="仿宋_GB2312" w:hAnsi="Times New Roman" w:eastAsia="仿宋_GB2312"/>
                <w:sz w:val="18"/>
                <w:szCs w:val="18"/>
              </w:rPr>
            </w:pPr>
          </w:p>
        </w:tc>
        <w:tc>
          <w:tcPr>
            <w:tcW w:w="1440" w:type="dxa"/>
            <w:gridSpan w:val="2"/>
            <w:tcBorders>
              <w:top w:val="single" w:color="auto" w:sz="4" w:space="0"/>
              <w:left w:val="nil"/>
              <w:bottom w:val="single" w:color="auto" w:sz="4" w:space="0"/>
              <w:right w:val="single" w:color="auto" w:sz="4" w:space="0"/>
            </w:tcBorders>
            <w:shd w:val="clear" w:color="auto" w:fill="auto"/>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Layout w:type="fixed"/>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4</w:t>
            </w:r>
          </w:p>
        </w:tc>
        <w:tc>
          <w:tcPr>
            <w:tcW w:w="10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动物防疫等补助经费</w:t>
            </w:r>
          </w:p>
        </w:tc>
        <w:tc>
          <w:tcPr>
            <w:tcW w:w="596"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074" w:type="dxa"/>
            <w:tcBorders>
              <w:top w:val="single" w:color="auto" w:sz="4" w:space="0"/>
              <w:left w:val="nil"/>
              <w:bottom w:val="single" w:color="auto" w:sz="4" w:space="0"/>
              <w:right w:val="single" w:color="auto" w:sz="4" w:space="0"/>
            </w:tcBorders>
            <w:shd w:val="clear" w:color="auto" w:fill="auto"/>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3146" w:type="dxa"/>
            <w:tcBorders>
              <w:top w:val="single" w:color="auto" w:sz="4" w:space="0"/>
              <w:left w:val="nil"/>
              <w:bottom w:val="single" w:color="auto" w:sz="4" w:space="0"/>
              <w:right w:val="single" w:color="auto" w:sz="4" w:space="0"/>
            </w:tcBorders>
            <w:shd w:val="clear" w:color="auto" w:fill="auto"/>
            <w:vAlign w:val="top"/>
          </w:tcPr>
          <w:p>
            <w:pPr>
              <w:jc w:val="left"/>
              <w:rPr>
                <w:rFonts w:hint="eastAsia" w:ascii="仿宋_GB2312" w:hAnsi="Times New Roman" w:eastAsia="仿宋_GB2312"/>
                <w:sz w:val="18"/>
                <w:szCs w:val="18"/>
                <w:lang w:eastAsia="zh-CN"/>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动物防疫法》</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财政部 农业部关于印发</w:t>
            </w:r>
            <w:r>
              <w:rPr>
                <w:rFonts w:hint="eastAsia" w:ascii="仿宋_GB2312" w:hAnsi="Times New Roman" w:eastAsia="仿宋_GB2312"/>
                <w:sz w:val="18"/>
                <w:szCs w:val="18"/>
                <w:lang w:val="en-US" w:eastAsia="zh-CN"/>
              </w:rPr>
              <w:t>&lt;</w:t>
            </w:r>
            <w:r>
              <w:rPr>
                <w:rFonts w:hint="eastAsia" w:ascii="仿宋_GB2312" w:hAnsi="Times New Roman" w:eastAsia="仿宋_GB2312"/>
                <w:sz w:val="18"/>
                <w:szCs w:val="18"/>
              </w:rPr>
              <w:t>动物防疫等补助经费管理办法</w:t>
            </w:r>
            <w:r>
              <w:rPr>
                <w:rFonts w:hint="eastAsia" w:ascii="仿宋_GB2312" w:hAnsi="Times New Roman" w:eastAsia="仿宋_GB2312"/>
                <w:sz w:val="18"/>
                <w:szCs w:val="18"/>
                <w:lang w:val="en-US" w:eastAsia="zh-CN"/>
              </w:rPr>
              <w:t>&gt;</w:t>
            </w:r>
            <w:r>
              <w:rPr>
                <w:rFonts w:hint="eastAsia" w:ascii="仿宋_GB2312" w:hAnsi="Times New Roman" w:eastAsia="仿宋_GB2312"/>
                <w:sz w:val="18"/>
                <w:szCs w:val="18"/>
              </w:rPr>
              <w:t>的通知</w:t>
            </w:r>
            <w:r>
              <w:rPr>
                <w:rFonts w:hint="eastAsia" w:ascii="仿宋_GB2312" w:hAnsi="Times New Roman" w:eastAsia="仿宋_GB2312"/>
                <w:sz w:val="18"/>
                <w:szCs w:val="18"/>
                <w:lang w:eastAsia="zh-CN"/>
              </w:rPr>
              <w:t>》</w:t>
            </w:r>
          </w:p>
          <w:p>
            <w:pPr>
              <w:jc w:val="left"/>
              <w:rPr>
                <w:rFonts w:hint="eastAsia" w:ascii="仿宋_GB2312" w:hAnsi="Times New Roman" w:eastAsia="仿宋_GB2312"/>
                <w:sz w:val="18"/>
                <w:szCs w:val="18"/>
              </w:rPr>
            </w:pPr>
          </w:p>
        </w:tc>
        <w:tc>
          <w:tcPr>
            <w:tcW w:w="1260" w:type="dxa"/>
            <w:tcBorders>
              <w:top w:val="single" w:color="auto" w:sz="4" w:space="0"/>
              <w:left w:val="nil"/>
              <w:bottom w:val="single" w:color="auto" w:sz="4" w:space="0"/>
              <w:right w:val="single" w:color="auto" w:sz="4" w:space="0"/>
            </w:tcBorders>
            <w:shd w:val="clear" w:color="auto" w:fill="auto"/>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hint="eastAsia" w:ascii="仿宋_GB2312" w:hAnsi="Times New Roman" w:eastAsia="仿宋_GB2312"/>
                <w:sz w:val="18"/>
                <w:szCs w:val="18"/>
              </w:rPr>
            </w:pPr>
          </w:p>
        </w:tc>
        <w:tc>
          <w:tcPr>
            <w:tcW w:w="1440" w:type="dxa"/>
            <w:gridSpan w:val="2"/>
            <w:tcBorders>
              <w:top w:val="single" w:color="auto" w:sz="4" w:space="0"/>
              <w:left w:val="nil"/>
              <w:bottom w:val="single" w:color="auto" w:sz="4" w:space="0"/>
              <w:right w:val="single" w:color="auto" w:sz="4" w:space="0"/>
            </w:tcBorders>
            <w:shd w:val="clear" w:color="auto" w:fill="auto"/>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hint="eastAsia" w:ascii="仿宋_GB2312" w:hAnsi="宋体" w:eastAsia="仿宋_GB2312"/>
                <w:sz w:val="18"/>
                <w:szCs w:val="18"/>
              </w:rPr>
            </w:pP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pPr>
        <w:jc w:val="center"/>
        <w:rPr>
          <w:rFonts w:ascii="Times New Roman" w:hAnsi="Times New Roman" w:eastAsia="方正小标宋_GBK"/>
          <w:sz w:val="28"/>
          <w:szCs w:val="28"/>
        </w:rPr>
      </w:pPr>
    </w:p>
    <w:p/>
    <w:sectPr>
      <w:headerReference r:id="rId3" w:type="default"/>
      <w:footerReference r:id="rId4" w:type="default"/>
      <w:pgSz w:w="16838" w:h="11906" w:orient="landscape"/>
      <w:pgMar w:top="1417" w:right="1440" w:bottom="1134"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GB2312">
    <w:altName w:val="仿宋"/>
    <w:panose1 w:val="00000000000000000000"/>
    <w:charset w:val="00"/>
    <w:family w:val="auto"/>
    <w:pitch w:val="default"/>
    <w:sig w:usb0="00000000" w:usb1="00000000" w:usb2="00000000" w:usb3="00000000" w:csb0="0000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F15DB"/>
    <w:rsid w:val="15507E63"/>
    <w:rsid w:val="18280633"/>
    <w:rsid w:val="1A90567C"/>
    <w:rsid w:val="1E8D18AA"/>
    <w:rsid w:val="4EF954CB"/>
    <w:rsid w:val="605715B3"/>
    <w:rsid w:val="60AF15D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区农业和园林局</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2020-09-17T07:57:00Z</dcterms:created>
  <dc:creator>zhangyat</dc:creator>
  <cp:lastModifiedBy>区政务服务数据管理局</cp:lastModifiedBy>
  <cp:lastPrinted>2020-10-21T08:20:00Z</cp:lastPrinted>
  <dcterms:modified xsi:type="dcterms:W3CDTF">2020-11-03T07:14:53Z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