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A8" w:rsidRDefault="003B68B0">
      <w:pPr>
        <w:adjustRightInd w:val="0"/>
        <w:snapToGrid w:val="0"/>
        <w:spacing w:line="360" w:lineRule="auto"/>
        <w:jc w:val="center"/>
        <w:rPr>
          <w:rFonts w:ascii="Times New Roman" w:eastAsia="方正小标宋简体" w:hAnsi="Times New Roman" w:cs="Times New Roman" w:hint="eastAsia"/>
          <w:color w:val="000000"/>
          <w:sz w:val="32"/>
          <w:szCs w:val="32"/>
        </w:rPr>
      </w:pPr>
      <w:r>
        <w:rPr>
          <w:rFonts w:ascii="Times New Roman" w:eastAsia="方正小标宋简体" w:hAnsi="Times New Roman" w:cs="Times New Roman" w:hint="eastAsia"/>
          <w:color w:val="000000"/>
          <w:sz w:val="32"/>
          <w:szCs w:val="32"/>
        </w:rPr>
        <w:t>广州市</w:t>
      </w:r>
      <w:r>
        <w:rPr>
          <w:rFonts w:ascii="Times New Roman" w:eastAsia="方正小标宋简体" w:hAnsi="Times New Roman" w:cs="Times New Roman" w:hint="eastAsia"/>
          <w:color w:val="000000"/>
          <w:sz w:val="32"/>
          <w:szCs w:val="32"/>
        </w:rPr>
        <w:t>天河区</w:t>
      </w:r>
      <w:bookmarkStart w:id="0" w:name="_GoBack"/>
      <w:bookmarkEnd w:id="0"/>
      <w:r>
        <w:rPr>
          <w:rFonts w:ascii="Times New Roman" w:eastAsia="方正小标宋简体" w:hAnsi="Times New Roman" w:cs="Times New Roman" w:hint="eastAsia"/>
          <w:color w:val="000000"/>
          <w:sz w:val="32"/>
          <w:szCs w:val="32"/>
        </w:rPr>
        <w:t>市场监督管理局</w:t>
      </w:r>
      <w:r>
        <w:rPr>
          <w:rFonts w:ascii="Times New Roman" w:eastAsia="方正小标宋简体" w:hAnsi="Times New Roman" w:cs="Times New Roman"/>
          <w:color w:val="000000"/>
          <w:sz w:val="32"/>
          <w:szCs w:val="32"/>
        </w:rPr>
        <w:t>有源音箱</w:t>
      </w:r>
    </w:p>
    <w:p w:rsidR="002C08F2" w:rsidRDefault="003B68B0">
      <w:pPr>
        <w:adjustRightInd w:val="0"/>
        <w:snapToGrid w:val="0"/>
        <w:spacing w:line="360" w:lineRule="auto"/>
        <w:jc w:val="center"/>
        <w:rPr>
          <w:rFonts w:ascii="Times New Roman" w:eastAsia="方正小标宋简体" w:hAnsi="Times New Roman" w:cs="Times New Roman"/>
          <w:color w:val="000000"/>
          <w:sz w:val="32"/>
          <w:szCs w:val="32"/>
        </w:rPr>
      </w:pPr>
      <w:r>
        <w:rPr>
          <w:rFonts w:ascii="Times New Roman" w:eastAsia="方正小标宋简体" w:hAnsi="Times New Roman" w:cs="Times New Roman"/>
          <w:color w:val="000000"/>
          <w:sz w:val="32"/>
          <w:szCs w:val="32"/>
        </w:rPr>
        <w:t>产品质量监督抽查</w:t>
      </w:r>
      <w:r>
        <w:rPr>
          <w:rFonts w:ascii="Times New Roman" w:eastAsia="方正小标宋简体" w:hAnsi="Times New Roman" w:cs="Times New Roman"/>
          <w:color w:val="000000"/>
          <w:sz w:val="32"/>
          <w:szCs w:val="32"/>
        </w:rPr>
        <w:t>实施细则</w:t>
      </w:r>
    </w:p>
    <w:p w:rsidR="002C08F2" w:rsidRDefault="003B68B0">
      <w:pPr>
        <w:adjustRightInd w:val="0"/>
        <w:snapToGrid w:val="0"/>
        <w:spacing w:line="360" w:lineRule="auto"/>
        <w:rPr>
          <w:rFonts w:ascii="Times New Roman" w:eastAsia="黑体" w:hAnsi="Times New Roman" w:cs="Times New Roman"/>
          <w:szCs w:val="21"/>
        </w:rPr>
      </w:pPr>
      <w:r>
        <w:rPr>
          <w:rFonts w:ascii="Times New Roman" w:eastAsia="黑体" w:hAnsi="Times New Roman" w:cs="Times New Roman"/>
          <w:szCs w:val="21"/>
        </w:rPr>
        <w:t xml:space="preserve">1 </w:t>
      </w:r>
      <w:r>
        <w:rPr>
          <w:rFonts w:ascii="Times New Roman" w:eastAsia="黑体" w:hAnsi="Times New Roman" w:cs="Times New Roman"/>
          <w:color w:val="000000"/>
          <w:szCs w:val="21"/>
        </w:rPr>
        <w:t>抽样方法</w:t>
      </w:r>
    </w:p>
    <w:p w:rsidR="002C08F2" w:rsidRDefault="003B68B0">
      <w:pPr>
        <w:adjustRightInd w:val="0"/>
        <w:snapToGrid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在企业的待销产品中随机抽取有产品质量检验合格证明或者以其他形式表明合格的、近期生产的产品。</w:t>
      </w:r>
    </w:p>
    <w:p w:rsidR="002C08F2" w:rsidRDefault="003B68B0">
      <w:pPr>
        <w:adjustRightInd w:val="0"/>
        <w:snapToGrid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抽查样品基数满足抽样数量即可。</w:t>
      </w:r>
    </w:p>
    <w:p w:rsidR="002C08F2" w:rsidRDefault="003B68B0">
      <w:pPr>
        <w:adjustRightInd w:val="0"/>
        <w:snapToGrid w:val="0"/>
        <w:spacing w:line="360" w:lineRule="auto"/>
        <w:ind w:firstLine="420"/>
        <w:rPr>
          <w:rFonts w:ascii="Times New Roman" w:eastAsia="宋体" w:hAnsi="Times New Roman" w:cs="Times New Roman"/>
          <w:color w:val="000000"/>
          <w:kern w:val="0"/>
          <w:szCs w:val="21"/>
        </w:rPr>
      </w:pPr>
      <w:r>
        <w:rPr>
          <w:rFonts w:ascii="Times New Roman" w:hAnsi="Times New Roman" w:cs="Times New Roman"/>
        </w:rPr>
        <w:t>每批次产品</w:t>
      </w:r>
      <w:r>
        <w:rPr>
          <w:rFonts w:ascii="Times New Roman" w:hAnsi="Times New Roman" w:cs="Times New Roman"/>
        </w:rPr>
        <w:t>抽取</w:t>
      </w:r>
      <w:r>
        <w:rPr>
          <w:rFonts w:ascii="Times New Roman" w:hAnsi="Times New Roman" w:cs="Times New Roman"/>
        </w:rPr>
        <w:t>样品</w:t>
      </w:r>
      <w:r>
        <w:rPr>
          <w:rFonts w:ascii="Times New Roman" w:hAnsi="Times New Roman" w:cs="Times New Roman"/>
          <w:color w:val="000000"/>
          <w:kern w:val="0"/>
          <w:szCs w:val="21"/>
        </w:rPr>
        <w:t>3</w:t>
      </w:r>
      <w:r>
        <w:rPr>
          <w:rFonts w:ascii="Times New Roman" w:eastAsia="宋体" w:hAnsi="Times New Roman" w:cs="Times New Roman"/>
          <w:color w:val="000000"/>
          <w:kern w:val="0"/>
          <w:szCs w:val="21"/>
        </w:rPr>
        <w:t>套，另抽取该型号样机中使用的电源变压器一个。其中</w:t>
      </w:r>
      <w:r>
        <w:rPr>
          <w:rFonts w:ascii="Times New Roman" w:hAnsi="Times New Roman" w:cs="Times New Roman"/>
          <w:color w:val="000000"/>
          <w:kern w:val="0"/>
          <w:szCs w:val="21"/>
        </w:rPr>
        <w:t>2</w:t>
      </w:r>
      <w:r>
        <w:rPr>
          <w:rFonts w:ascii="Times New Roman" w:eastAsia="宋体" w:hAnsi="Times New Roman" w:cs="Times New Roman"/>
          <w:color w:val="000000"/>
          <w:kern w:val="0"/>
          <w:szCs w:val="21"/>
        </w:rPr>
        <w:t>套</w:t>
      </w:r>
      <w:r>
        <w:rPr>
          <w:rFonts w:ascii="Times New Roman" w:eastAsia="宋体" w:hAnsi="Times New Roman" w:cs="Times New Roman"/>
          <w:color w:val="000000"/>
          <w:kern w:val="0"/>
          <w:szCs w:val="21"/>
        </w:rPr>
        <w:t>作为</w:t>
      </w:r>
      <w:r>
        <w:rPr>
          <w:rFonts w:ascii="Times New Roman" w:eastAsia="宋体" w:hAnsi="Times New Roman" w:cs="Times New Roman"/>
          <w:color w:val="000000"/>
          <w:kern w:val="0"/>
          <w:szCs w:val="21"/>
        </w:rPr>
        <w:t>检验样品，</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套</w:t>
      </w:r>
      <w:r>
        <w:rPr>
          <w:rFonts w:ascii="Times New Roman" w:eastAsia="宋体" w:hAnsi="Times New Roman" w:cs="Times New Roman"/>
          <w:color w:val="000000"/>
          <w:kern w:val="0"/>
          <w:szCs w:val="21"/>
        </w:rPr>
        <w:t>作为</w:t>
      </w:r>
      <w:r>
        <w:rPr>
          <w:rFonts w:ascii="Times New Roman" w:eastAsia="宋体" w:hAnsi="Times New Roman" w:cs="Times New Roman"/>
          <w:color w:val="000000"/>
          <w:kern w:val="0"/>
          <w:szCs w:val="21"/>
        </w:rPr>
        <w:t>备用样品。</w:t>
      </w:r>
    </w:p>
    <w:p w:rsidR="002C08F2" w:rsidRDefault="003B68B0">
      <w:pPr>
        <w:adjustRightInd w:val="0"/>
        <w:snapToGrid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随机数一般可使用随机数表、随机数骰子或扑克牌等方法产生。</w:t>
      </w:r>
    </w:p>
    <w:p w:rsidR="002C08F2" w:rsidRDefault="002C08F2">
      <w:pPr>
        <w:adjustRightInd w:val="0"/>
        <w:snapToGrid w:val="0"/>
        <w:spacing w:line="360" w:lineRule="auto"/>
        <w:rPr>
          <w:rFonts w:ascii="Times New Roman" w:eastAsia="黑体" w:hAnsi="Times New Roman" w:cs="Times New Roman"/>
          <w:color w:val="000000"/>
          <w:szCs w:val="21"/>
        </w:rPr>
      </w:pPr>
    </w:p>
    <w:p w:rsidR="002C08F2" w:rsidRDefault="003B68B0">
      <w:pPr>
        <w:adjustRightInd w:val="0"/>
        <w:snapToGrid w:val="0"/>
        <w:spacing w:line="360" w:lineRule="auto"/>
        <w:rPr>
          <w:rFonts w:ascii="Times New Roman" w:eastAsia="黑体" w:hAnsi="Times New Roman" w:cs="Times New Roman"/>
          <w:color w:val="000000"/>
          <w:szCs w:val="21"/>
        </w:rPr>
      </w:pPr>
      <w:r>
        <w:rPr>
          <w:rFonts w:ascii="Times New Roman" w:eastAsia="黑体" w:hAnsi="Times New Roman" w:cs="Times New Roman"/>
          <w:color w:val="000000"/>
          <w:szCs w:val="21"/>
        </w:rPr>
        <w:t xml:space="preserve">2 </w:t>
      </w:r>
      <w:r>
        <w:rPr>
          <w:rFonts w:ascii="Times New Roman" w:eastAsia="黑体" w:hAnsi="Times New Roman" w:cs="Times New Roman"/>
          <w:color w:val="000000"/>
          <w:szCs w:val="21"/>
        </w:rPr>
        <w:t>检验依据</w:t>
      </w:r>
    </w:p>
    <w:p w:rsidR="002C08F2" w:rsidRDefault="003B68B0">
      <w:pPr>
        <w:adjustRightInd w:val="0"/>
        <w:snapToGrid w:val="0"/>
        <w:spacing w:line="360" w:lineRule="auto"/>
        <w:jc w:val="left"/>
        <w:rPr>
          <w:rFonts w:ascii="Times New Roman" w:hAnsi="Times New Roman" w:cs="Times New Roman"/>
          <w:color w:val="000000"/>
          <w:szCs w:val="21"/>
        </w:rPr>
      </w:pPr>
      <w:r>
        <w:rPr>
          <w:rFonts w:ascii="Times New Roman" w:hAnsi="Times New Roman" w:cs="Times New Roman"/>
          <w:color w:val="000000"/>
          <w:szCs w:val="21"/>
        </w:rPr>
        <w:t>本次抽查检验项目和检验方法依据见表</w:t>
      </w:r>
      <w:r>
        <w:rPr>
          <w:rFonts w:ascii="Times New Roman" w:hAnsi="Times New Roman" w:cs="Times New Roman"/>
          <w:color w:val="000000"/>
          <w:szCs w:val="21"/>
        </w:rPr>
        <w:t>1</w:t>
      </w:r>
      <w:r>
        <w:rPr>
          <w:rFonts w:ascii="Times New Roman" w:hAnsi="Times New Roman" w:cs="Times New Roman"/>
          <w:color w:val="000000"/>
          <w:szCs w:val="21"/>
        </w:rPr>
        <w:t>。</w:t>
      </w:r>
    </w:p>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表</w:t>
      </w:r>
      <w:r>
        <w:rPr>
          <w:rFonts w:ascii="Times New Roman" w:hAnsi="Times New Roman" w:cs="Times New Roman"/>
          <w:color w:val="000000"/>
          <w:szCs w:val="21"/>
        </w:rPr>
        <w:t>1</w:t>
      </w:r>
      <w:r>
        <w:rPr>
          <w:rFonts w:ascii="Times New Roman" w:hAnsi="Times New Roman" w:cs="Times New Roman"/>
          <w:color w:val="000000"/>
          <w:szCs w:val="21"/>
        </w:rPr>
        <w:t>检验项目</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2823"/>
        <w:gridCol w:w="1783"/>
        <w:gridCol w:w="1888"/>
        <w:gridCol w:w="1174"/>
        <w:gridCol w:w="1539"/>
      </w:tblGrid>
      <w:tr w:rsidR="002C08F2">
        <w:trPr>
          <w:trHeight w:val="312"/>
          <w:jc w:val="center"/>
        </w:trPr>
        <w:tc>
          <w:tcPr>
            <w:tcW w:w="561" w:type="dxa"/>
            <w:vMerge w:val="restart"/>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序号</w:t>
            </w:r>
          </w:p>
        </w:tc>
        <w:tc>
          <w:tcPr>
            <w:tcW w:w="2823" w:type="dxa"/>
            <w:vMerge w:val="restart"/>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检验项目</w:t>
            </w:r>
          </w:p>
        </w:tc>
        <w:tc>
          <w:tcPr>
            <w:tcW w:w="1783" w:type="dxa"/>
            <w:vMerge w:val="restart"/>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color w:val="000000"/>
                <w:szCs w:val="21"/>
              </w:rPr>
              <w:t>检验依据</w:t>
            </w:r>
          </w:p>
        </w:tc>
        <w:tc>
          <w:tcPr>
            <w:tcW w:w="1888" w:type="dxa"/>
            <w:vMerge w:val="restart"/>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检验方法</w:t>
            </w:r>
          </w:p>
        </w:tc>
        <w:tc>
          <w:tcPr>
            <w:tcW w:w="2713" w:type="dxa"/>
            <w:gridSpan w:val="2"/>
            <w:vAlign w:val="center"/>
          </w:tcPr>
          <w:p w:rsidR="002C08F2" w:rsidRDefault="003B68B0">
            <w:pPr>
              <w:snapToGrid w:val="0"/>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重要程度分类</w:t>
            </w:r>
          </w:p>
        </w:tc>
      </w:tr>
      <w:tr w:rsidR="002C08F2">
        <w:trPr>
          <w:trHeight w:val="312"/>
          <w:jc w:val="center"/>
        </w:trPr>
        <w:tc>
          <w:tcPr>
            <w:tcW w:w="561"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2823"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783"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888"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174" w:type="dxa"/>
            <w:vAlign w:val="center"/>
          </w:tcPr>
          <w:p w:rsidR="002C08F2" w:rsidRDefault="003B68B0">
            <w:pPr>
              <w:snapToGrid w:val="0"/>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A</w:t>
            </w:r>
            <w:r>
              <w:rPr>
                <w:rFonts w:ascii="Times New Roman" w:hAnsi="Times New Roman" w:cs="Times New Roman"/>
                <w:color w:val="000000"/>
                <w:szCs w:val="21"/>
              </w:rPr>
              <w:t>类</w:t>
            </w:r>
            <w:r>
              <w:rPr>
                <w:rFonts w:ascii="Times New Roman" w:hAnsi="Times New Roman" w:cs="Times New Roman"/>
                <w:color w:val="000000"/>
                <w:szCs w:val="21"/>
                <w:vertAlign w:val="superscript"/>
              </w:rPr>
              <w:t>a</w:t>
            </w:r>
          </w:p>
        </w:tc>
        <w:tc>
          <w:tcPr>
            <w:tcW w:w="1539" w:type="dxa"/>
            <w:vAlign w:val="center"/>
          </w:tcPr>
          <w:p w:rsidR="002C08F2" w:rsidRDefault="003B68B0">
            <w:pPr>
              <w:snapToGrid w:val="0"/>
              <w:spacing w:line="320" w:lineRule="exact"/>
              <w:jc w:val="center"/>
              <w:rPr>
                <w:rFonts w:ascii="Times New Roman" w:hAnsi="Times New Roman" w:cs="Times New Roman"/>
                <w:color w:val="000000"/>
                <w:szCs w:val="21"/>
              </w:rPr>
            </w:pPr>
            <w:r>
              <w:rPr>
                <w:rFonts w:ascii="Times New Roman" w:hAnsi="Times New Roman" w:cs="Times New Roman"/>
                <w:color w:val="000000"/>
                <w:szCs w:val="21"/>
              </w:rPr>
              <w:t>B</w:t>
            </w:r>
            <w:r>
              <w:rPr>
                <w:rFonts w:ascii="Times New Roman" w:hAnsi="Times New Roman" w:cs="Times New Roman"/>
                <w:color w:val="000000"/>
                <w:szCs w:val="21"/>
              </w:rPr>
              <w:t>类</w:t>
            </w:r>
            <w:r>
              <w:rPr>
                <w:rFonts w:ascii="Times New Roman" w:hAnsi="Times New Roman" w:cs="Times New Roman"/>
                <w:color w:val="000000"/>
                <w:szCs w:val="21"/>
                <w:vertAlign w:val="superscript"/>
              </w:rPr>
              <w:t>b</w:t>
            </w:r>
          </w:p>
        </w:tc>
      </w:tr>
      <w:tr w:rsidR="002C08F2">
        <w:trPr>
          <w:trHeight w:val="238"/>
          <w:jc w:val="center"/>
        </w:trPr>
        <w:tc>
          <w:tcPr>
            <w:tcW w:w="561" w:type="dxa"/>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szCs w:val="21"/>
              </w:rPr>
              <w:t>1</w:t>
            </w:r>
          </w:p>
        </w:tc>
        <w:tc>
          <w:tcPr>
            <w:tcW w:w="2823" w:type="dxa"/>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color w:val="000000"/>
                <w:szCs w:val="21"/>
              </w:rPr>
              <w:t>端子</w:t>
            </w:r>
          </w:p>
        </w:tc>
        <w:tc>
          <w:tcPr>
            <w:tcW w:w="1783" w:type="dxa"/>
            <w:vMerge w:val="restart"/>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color w:val="000000"/>
                <w:szCs w:val="21"/>
              </w:rPr>
              <w:t>GB 8898</w:t>
            </w:r>
            <w:r>
              <w:rPr>
                <w:rFonts w:ascii="Times New Roman" w:hAnsi="Times New Roman" w:cs="Times New Roman"/>
                <w:color w:val="000000"/>
                <w:szCs w:val="21"/>
              </w:rPr>
              <w:t>-2011</w:t>
            </w:r>
          </w:p>
        </w:tc>
        <w:tc>
          <w:tcPr>
            <w:tcW w:w="1888" w:type="dxa"/>
            <w:vMerge w:val="restart"/>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color w:val="000000"/>
                <w:szCs w:val="21"/>
              </w:rPr>
              <w:t>GB 8898</w:t>
            </w:r>
            <w:r>
              <w:rPr>
                <w:rFonts w:ascii="Times New Roman" w:hAnsi="Times New Roman" w:cs="Times New Roman"/>
                <w:color w:val="000000"/>
                <w:szCs w:val="21"/>
              </w:rPr>
              <w:t>-2011</w:t>
            </w:r>
          </w:p>
        </w:tc>
        <w:tc>
          <w:tcPr>
            <w:tcW w:w="1174" w:type="dxa"/>
            <w:vAlign w:val="center"/>
          </w:tcPr>
          <w:p w:rsidR="002C08F2" w:rsidRDefault="003B68B0">
            <w:pPr>
              <w:adjustRightInd w:val="0"/>
              <w:snapToGrid w:val="0"/>
              <w:spacing w:line="360" w:lineRule="auto"/>
              <w:jc w:val="center"/>
              <w:rPr>
                <w:rFonts w:ascii="Times New Roman" w:eastAsia="宋体" w:hAnsi="Times New Roman" w:cs="Times New Roman"/>
                <w:color w:val="000000"/>
                <w:szCs w:val="21"/>
              </w:rPr>
            </w:pPr>
            <w:r>
              <w:rPr>
                <w:rFonts w:ascii="宋体" w:hAnsi="宋体" w:hint="eastAsia"/>
                <w:szCs w:val="21"/>
              </w:rPr>
              <w:t>●</w:t>
            </w:r>
          </w:p>
        </w:tc>
        <w:tc>
          <w:tcPr>
            <w:tcW w:w="1539" w:type="dxa"/>
            <w:vAlign w:val="center"/>
          </w:tcPr>
          <w:p w:rsidR="002C08F2" w:rsidRDefault="002C08F2">
            <w:pPr>
              <w:adjustRightInd w:val="0"/>
              <w:snapToGrid w:val="0"/>
              <w:spacing w:line="360" w:lineRule="auto"/>
              <w:jc w:val="center"/>
              <w:rPr>
                <w:rFonts w:ascii="Times New Roman" w:eastAsia="宋体" w:hAnsi="Times New Roman" w:cs="Times New Roman"/>
                <w:color w:val="000000"/>
                <w:szCs w:val="21"/>
              </w:rPr>
            </w:pPr>
          </w:p>
        </w:tc>
      </w:tr>
      <w:tr w:rsidR="002C08F2">
        <w:trPr>
          <w:trHeight w:val="238"/>
          <w:jc w:val="center"/>
        </w:trPr>
        <w:tc>
          <w:tcPr>
            <w:tcW w:w="561" w:type="dxa"/>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szCs w:val="21"/>
              </w:rPr>
              <w:t>2</w:t>
            </w:r>
          </w:p>
        </w:tc>
        <w:tc>
          <w:tcPr>
            <w:tcW w:w="2823" w:type="dxa"/>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color w:val="000000"/>
                <w:szCs w:val="21"/>
              </w:rPr>
              <w:t>防电击保护的结构要求</w:t>
            </w:r>
          </w:p>
        </w:tc>
        <w:tc>
          <w:tcPr>
            <w:tcW w:w="1783"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888"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174" w:type="dxa"/>
            <w:vAlign w:val="center"/>
          </w:tcPr>
          <w:p w:rsidR="002C08F2" w:rsidRDefault="003B68B0">
            <w:pPr>
              <w:adjustRightInd w:val="0"/>
              <w:snapToGrid w:val="0"/>
              <w:spacing w:line="360" w:lineRule="auto"/>
              <w:jc w:val="center"/>
              <w:rPr>
                <w:rFonts w:ascii="Times New Roman" w:eastAsia="宋体" w:hAnsi="Times New Roman" w:cs="Times New Roman"/>
                <w:color w:val="000000"/>
                <w:szCs w:val="21"/>
              </w:rPr>
            </w:pPr>
            <w:r>
              <w:rPr>
                <w:rFonts w:ascii="宋体" w:hAnsi="宋体" w:hint="eastAsia"/>
                <w:szCs w:val="21"/>
              </w:rPr>
              <w:t>●</w:t>
            </w:r>
          </w:p>
        </w:tc>
        <w:tc>
          <w:tcPr>
            <w:tcW w:w="1539" w:type="dxa"/>
            <w:vAlign w:val="center"/>
          </w:tcPr>
          <w:p w:rsidR="002C08F2" w:rsidRDefault="002C08F2">
            <w:pPr>
              <w:adjustRightInd w:val="0"/>
              <w:snapToGrid w:val="0"/>
              <w:spacing w:line="360" w:lineRule="auto"/>
              <w:jc w:val="center"/>
              <w:rPr>
                <w:rFonts w:ascii="Times New Roman" w:eastAsia="宋体" w:hAnsi="Times New Roman" w:cs="Times New Roman"/>
                <w:color w:val="000000"/>
                <w:szCs w:val="21"/>
              </w:rPr>
            </w:pPr>
          </w:p>
        </w:tc>
      </w:tr>
      <w:tr w:rsidR="002C08F2">
        <w:trPr>
          <w:trHeight w:val="238"/>
          <w:jc w:val="center"/>
        </w:trPr>
        <w:tc>
          <w:tcPr>
            <w:tcW w:w="561" w:type="dxa"/>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szCs w:val="21"/>
              </w:rPr>
              <w:t>3</w:t>
            </w:r>
          </w:p>
        </w:tc>
        <w:tc>
          <w:tcPr>
            <w:tcW w:w="2823" w:type="dxa"/>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color w:val="000000"/>
                <w:szCs w:val="21"/>
              </w:rPr>
              <w:t>正常工作条件下的电击危险</w:t>
            </w:r>
          </w:p>
        </w:tc>
        <w:tc>
          <w:tcPr>
            <w:tcW w:w="1783"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888"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174" w:type="dxa"/>
            <w:vAlign w:val="center"/>
          </w:tcPr>
          <w:p w:rsidR="002C08F2" w:rsidRDefault="003B68B0">
            <w:pPr>
              <w:adjustRightInd w:val="0"/>
              <w:snapToGrid w:val="0"/>
              <w:spacing w:line="360" w:lineRule="auto"/>
              <w:jc w:val="center"/>
              <w:rPr>
                <w:rFonts w:ascii="Times New Roman" w:eastAsia="宋体" w:hAnsi="Times New Roman" w:cs="Times New Roman"/>
                <w:color w:val="000000"/>
                <w:szCs w:val="21"/>
              </w:rPr>
            </w:pPr>
            <w:r>
              <w:rPr>
                <w:rFonts w:ascii="宋体" w:hAnsi="宋体" w:hint="eastAsia"/>
                <w:szCs w:val="21"/>
              </w:rPr>
              <w:t>●</w:t>
            </w:r>
          </w:p>
        </w:tc>
        <w:tc>
          <w:tcPr>
            <w:tcW w:w="1539" w:type="dxa"/>
            <w:vAlign w:val="center"/>
          </w:tcPr>
          <w:p w:rsidR="002C08F2" w:rsidRDefault="002C08F2">
            <w:pPr>
              <w:adjustRightInd w:val="0"/>
              <w:snapToGrid w:val="0"/>
              <w:spacing w:line="360" w:lineRule="auto"/>
              <w:jc w:val="center"/>
              <w:rPr>
                <w:rFonts w:ascii="Times New Roman" w:eastAsia="宋体" w:hAnsi="Times New Roman" w:cs="Times New Roman"/>
                <w:color w:val="000000"/>
                <w:szCs w:val="21"/>
              </w:rPr>
            </w:pPr>
          </w:p>
        </w:tc>
      </w:tr>
      <w:tr w:rsidR="002C08F2">
        <w:trPr>
          <w:trHeight w:val="238"/>
          <w:jc w:val="center"/>
        </w:trPr>
        <w:tc>
          <w:tcPr>
            <w:tcW w:w="561" w:type="dxa"/>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szCs w:val="21"/>
              </w:rPr>
              <w:t>4</w:t>
            </w:r>
          </w:p>
        </w:tc>
        <w:tc>
          <w:tcPr>
            <w:tcW w:w="2823" w:type="dxa"/>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color w:val="000000"/>
                <w:szCs w:val="21"/>
              </w:rPr>
              <w:t>正常工作条件下的发热</w:t>
            </w:r>
          </w:p>
        </w:tc>
        <w:tc>
          <w:tcPr>
            <w:tcW w:w="1783"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888"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174" w:type="dxa"/>
            <w:vAlign w:val="center"/>
          </w:tcPr>
          <w:p w:rsidR="002C08F2" w:rsidRDefault="003B68B0">
            <w:pPr>
              <w:adjustRightInd w:val="0"/>
              <w:snapToGrid w:val="0"/>
              <w:spacing w:line="360" w:lineRule="auto"/>
              <w:jc w:val="center"/>
              <w:rPr>
                <w:rFonts w:ascii="Times New Roman" w:eastAsia="宋体" w:hAnsi="Times New Roman" w:cs="Times New Roman"/>
                <w:color w:val="000000"/>
                <w:szCs w:val="21"/>
              </w:rPr>
            </w:pPr>
            <w:r>
              <w:rPr>
                <w:rFonts w:ascii="宋体" w:hAnsi="宋体" w:hint="eastAsia"/>
                <w:szCs w:val="21"/>
              </w:rPr>
              <w:t>●</w:t>
            </w:r>
          </w:p>
        </w:tc>
        <w:tc>
          <w:tcPr>
            <w:tcW w:w="1539" w:type="dxa"/>
            <w:vAlign w:val="center"/>
          </w:tcPr>
          <w:p w:rsidR="002C08F2" w:rsidRDefault="002C08F2">
            <w:pPr>
              <w:adjustRightInd w:val="0"/>
              <w:snapToGrid w:val="0"/>
              <w:spacing w:line="360" w:lineRule="auto"/>
              <w:jc w:val="center"/>
              <w:rPr>
                <w:rFonts w:ascii="Times New Roman" w:eastAsia="宋体" w:hAnsi="Times New Roman" w:cs="Times New Roman"/>
                <w:color w:val="000000"/>
                <w:szCs w:val="21"/>
              </w:rPr>
            </w:pPr>
          </w:p>
        </w:tc>
      </w:tr>
      <w:tr w:rsidR="002C08F2">
        <w:trPr>
          <w:trHeight w:val="238"/>
          <w:jc w:val="center"/>
        </w:trPr>
        <w:tc>
          <w:tcPr>
            <w:tcW w:w="561" w:type="dxa"/>
            <w:vAlign w:val="center"/>
          </w:tcPr>
          <w:p w:rsidR="002C08F2" w:rsidRDefault="003B68B0">
            <w:pPr>
              <w:tabs>
                <w:tab w:val="left" w:pos="2520"/>
              </w:tabs>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szCs w:val="21"/>
              </w:rPr>
              <w:t>5</w:t>
            </w:r>
          </w:p>
        </w:tc>
        <w:tc>
          <w:tcPr>
            <w:tcW w:w="2823" w:type="dxa"/>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color w:val="000000"/>
                <w:szCs w:val="21"/>
              </w:rPr>
              <w:t>绝缘要求</w:t>
            </w:r>
          </w:p>
        </w:tc>
        <w:tc>
          <w:tcPr>
            <w:tcW w:w="1783"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888"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174" w:type="dxa"/>
            <w:vAlign w:val="center"/>
          </w:tcPr>
          <w:p w:rsidR="002C08F2" w:rsidRDefault="003B68B0">
            <w:pPr>
              <w:adjustRightInd w:val="0"/>
              <w:snapToGrid w:val="0"/>
              <w:spacing w:line="360" w:lineRule="auto"/>
              <w:jc w:val="center"/>
              <w:rPr>
                <w:rFonts w:ascii="Times New Roman" w:eastAsia="宋体" w:hAnsi="Times New Roman" w:cs="Times New Roman"/>
                <w:color w:val="000000"/>
                <w:szCs w:val="21"/>
              </w:rPr>
            </w:pPr>
            <w:r>
              <w:rPr>
                <w:rFonts w:ascii="宋体" w:hAnsi="宋体" w:hint="eastAsia"/>
                <w:szCs w:val="21"/>
              </w:rPr>
              <w:t>●</w:t>
            </w:r>
          </w:p>
        </w:tc>
        <w:tc>
          <w:tcPr>
            <w:tcW w:w="1539" w:type="dxa"/>
            <w:vAlign w:val="center"/>
          </w:tcPr>
          <w:p w:rsidR="002C08F2" w:rsidRDefault="002C08F2">
            <w:pPr>
              <w:adjustRightInd w:val="0"/>
              <w:snapToGrid w:val="0"/>
              <w:spacing w:line="360" w:lineRule="auto"/>
              <w:jc w:val="center"/>
              <w:rPr>
                <w:rFonts w:ascii="Times New Roman" w:eastAsia="宋体" w:hAnsi="Times New Roman" w:cs="Times New Roman"/>
                <w:color w:val="000000"/>
                <w:szCs w:val="21"/>
              </w:rPr>
            </w:pPr>
          </w:p>
        </w:tc>
      </w:tr>
      <w:tr w:rsidR="002C08F2">
        <w:trPr>
          <w:trHeight w:val="238"/>
          <w:jc w:val="center"/>
        </w:trPr>
        <w:tc>
          <w:tcPr>
            <w:tcW w:w="561" w:type="dxa"/>
            <w:vAlign w:val="center"/>
          </w:tcPr>
          <w:p w:rsidR="002C08F2" w:rsidRDefault="003B68B0">
            <w:pPr>
              <w:tabs>
                <w:tab w:val="left" w:pos="2520"/>
              </w:tabs>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szCs w:val="21"/>
              </w:rPr>
              <w:t>6</w:t>
            </w:r>
          </w:p>
        </w:tc>
        <w:tc>
          <w:tcPr>
            <w:tcW w:w="2823" w:type="dxa"/>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color w:val="000000"/>
                <w:szCs w:val="21"/>
              </w:rPr>
              <w:t>机械强度</w:t>
            </w:r>
          </w:p>
        </w:tc>
        <w:tc>
          <w:tcPr>
            <w:tcW w:w="1783"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888"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174" w:type="dxa"/>
            <w:vAlign w:val="center"/>
          </w:tcPr>
          <w:p w:rsidR="002C08F2" w:rsidRDefault="003B68B0">
            <w:pPr>
              <w:adjustRightInd w:val="0"/>
              <w:snapToGrid w:val="0"/>
              <w:spacing w:line="360" w:lineRule="auto"/>
              <w:jc w:val="center"/>
              <w:rPr>
                <w:rFonts w:ascii="Times New Roman" w:eastAsia="宋体" w:hAnsi="Times New Roman" w:cs="Times New Roman"/>
                <w:color w:val="000000"/>
                <w:szCs w:val="21"/>
              </w:rPr>
            </w:pPr>
            <w:r>
              <w:rPr>
                <w:rFonts w:ascii="宋体" w:hAnsi="宋体" w:hint="eastAsia"/>
                <w:szCs w:val="21"/>
              </w:rPr>
              <w:t>●</w:t>
            </w:r>
          </w:p>
        </w:tc>
        <w:tc>
          <w:tcPr>
            <w:tcW w:w="1539" w:type="dxa"/>
            <w:vAlign w:val="center"/>
          </w:tcPr>
          <w:p w:rsidR="002C08F2" w:rsidRDefault="002C08F2">
            <w:pPr>
              <w:adjustRightInd w:val="0"/>
              <w:snapToGrid w:val="0"/>
              <w:spacing w:line="360" w:lineRule="auto"/>
              <w:jc w:val="center"/>
              <w:rPr>
                <w:rFonts w:ascii="Times New Roman" w:eastAsia="宋体" w:hAnsi="Times New Roman" w:cs="Times New Roman"/>
                <w:color w:val="000000"/>
                <w:szCs w:val="21"/>
              </w:rPr>
            </w:pPr>
          </w:p>
        </w:tc>
      </w:tr>
      <w:tr w:rsidR="002C08F2">
        <w:trPr>
          <w:trHeight w:val="238"/>
          <w:jc w:val="center"/>
        </w:trPr>
        <w:tc>
          <w:tcPr>
            <w:tcW w:w="561" w:type="dxa"/>
            <w:vAlign w:val="center"/>
          </w:tcPr>
          <w:p w:rsidR="002C08F2" w:rsidRDefault="003B68B0">
            <w:pPr>
              <w:tabs>
                <w:tab w:val="left" w:pos="2520"/>
              </w:tabs>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szCs w:val="21"/>
              </w:rPr>
              <w:t>7</w:t>
            </w:r>
          </w:p>
        </w:tc>
        <w:tc>
          <w:tcPr>
            <w:tcW w:w="2823" w:type="dxa"/>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color w:val="000000"/>
                <w:szCs w:val="21"/>
              </w:rPr>
              <w:t>电气间隙和爬电距离</w:t>
            </w:r>
          </w:p>
        </w:tc>
        <w:tc>
          <w:tcPr>
            <w:tcW w:w="1783"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888"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174" w:type="dxa"/>
            <w:vAlign w:val="center"/>
          </w:tcPr>
          <w:p w:rsidR="002C08F2" w:rsidRDefault="003B68B0">
            <w:pPr>
              <w:adjustRightInd w:val="0"/>
              <w:snapToGrid w:val="0"/>
              <w:spacing w:line="360" w:lineRule="auto"/>
              <w:jc w:val="center"/>
              <w:rPr>
                <w:rFonts w:ascii="Times New Roman" w:eastAsia="宋体" w:hAnsi="Times New Roman" w:cs="Times New Roman"/>
                <w:color w:val="000000"/>
                <w:szCs w:val="21"/>
              </w:rPr>
            </w:pPr>
            <w:r>
              <w:rPr>
                <w:rFonts w:ascii="宋体" w:hAnsi="宋体" w:hint="eastAsia"/>
                <w:szCs w:val="21"/>
              </w:rPr>
              <w:t>●</w:t>
            </w:r>
          </w:p>
        </w:tc>
        <w:tc>
          <w:tcPr>
            <w:tcW w:w="1539" w:type="dxa"/>
            <w:vAlign w:val="center"/>
          </w:tcPr>
          <w:p w:rsidR="002C08F2" w:rsidRDefault="002C08F2">
            <w:pPr>
              <w:adjustRightInd w:val="0"/>
              <w:snapToGrid w:val="0"/>
              <w:spacing w:line="360" w:lineRule="auto"/>
              <w:jc w:val="center"/>
              <w:rPr>
                <w:rFonts w:ascii="Times New Roman" w:eastAsia="宋体" w:hAnsi="Times New Roman" w:cs="Times New Roman"/>
                <w:color w:val="000000"/>
                <w:szCs w:val="21"/>
              </w:rPr>
            </w:pPr>
          </w:p>
        </w:tc>
      </w:tr>
      <w:tr w:rsidR="002C08F2">
        <w:trPr>
          <w:trHeight w:val="238"/>
          <w:jc w:val="center"/>
        </w:trPr>
        <w:tc>
          <w:tcPr>
            <w:tcW w:w="561" w:type="dxa"/>
            <w:vAlign w:val="center"/>
          </w:tcPr>
          <w:p w:rsidR="002C08F2" w:rsidRDefault="003B68B0">
            <w:pPr>
              <w:tabs>
                <w:tab w:val="left" w:pos="2520"/>
              </w:tabs>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szCs w:val="21"/>
              </w:rPr>
              <w:t>8</w:t>
            </w:r>
          </w:p>
        </w:tc>
        <w:tc>
          <w:tcPr>
            <w:tcW w:w="2823" w:type="dxa"/>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外接软线</w:t>
            </w:r>
          </w:p>
        </w:tc>
        <w:tc>
          <w:tcPr>
            <w:tcW w:w="1783"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888"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174" w:type="dxa"/>
            <w:vAlign w:val="center"/>
          </w:tcPr>
          <w:p w:rsidR="002C08F2" w:rsidRDefault="003B68B0">
            <w:pPr>
              <w:adjustRightInd w:val="0"/>
              <w:snapToGrid w:val="0"/>
              <w:spacing w:line="360" w:lineRule="auto"/>
              <w:jc w:val="center"/>
              <w:rPr>
                <w:rFonts w:ascii="Times New Roman" w:eastAsia="宋体" w:hAnsi="Times New Roman" w:cs="Times New Roman"/>
                <w:color w:val="000000"/>
                <w:szCs w:val="21"/>
              </w:rPr>
            </w:pPr>
            <w:r>
              <w:rPr>
                <w:rFonts w:ascii="宋体" w:hAnsi="宋体" w:hint="eastAsia"/>
                <w:szCs w:val="21"/>
              </w:rPr>
              <w:t>●</w:t>
            </w:r>
          </w:p>
        </w:tc>
        <w:tc>
          <w:tcPr>
            <w:tcW w:w="1539" w:type="dxa"/>
            <w:vAlign w:val="center"/>
          </w:tcPr>
          <w:p w:rsidR="002C08F2" w:rsidRDefault="002C08F2">
            <w:pPr>
              <w:adjustRightInd w:val="0"/>
              <w:snapToGrid w:val="0"/>
              <w:spacing w:line="360" w:lineRule="auto"/>
              <w:jc w:val="center"/>
              <w:rPr>
                <w:rFonts w:ascii="Times New Roman" w:eastAsia="宋体" w:hAnsi="Times New Roman" w:cs="Times New Roman"/>
                <w:color w:val="000000"/>
                <w:szCs w:val="21"/>
              </w:rPr>
            </w:pPr>
          </w:p>
        </w:tc>
      </w:tr>
      <w:tr w:rsidR="002C08F2">
        <w:trPr>
          <w:trHeight w:val="238"/>
          <w:jc w:val="center"/>
        </w:trPr>
        <w:tc>
          <w:tcPr>
            <w:tcW w:w="561" w:type="dxa"/>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szCs w:val="21"/>
              </w:rPr>
              <w:t>9</w:t>
            </w:r>
          </w:p>
        </w:tc>
        <w:tc>
          <w:tcPr>
            <w:tcW w:w="2823" w:type="dxa"/>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电源端骚扰电压</w:t>
            </w:r>
            <w:r>
              <w:rPr>
                <w:rFonts w:ascii="Times New Roman" w:eastAsia="宋体" w:hAnsi="Times New Roman" w:cs="Times New Roman"/>
                <w:color w:val="000000"/>
                <w:szCs w:val="21"/>
              </w:rPr>
              <w:t xml:space="preserve"> </w:t>
            </w:r>
          </w:p>
        </w:tc>
        <w:tc>
          <w:tcPr>
            <w:tcW w:w="1783" w:type="dxa"/>
            <w:vMerge w:val="restart"/>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color w:val="000000"/>
                <w:szCs w:val="21"/>
              </w:rPr>
              <w:t>GB/T 13837</w:t>
            </w:r>
            <w:r>
              <w:rPr>
                <w:rFonts w:ascii="Times New Roman" w:hAnsi="Times New Roman" w:cs="Times New Roman"/>
                <w:color w:val="000000"/>
                <w:szCs w:val="21"/>
              </w:rPr>
              <w:t>-2012</w:t>
            </w:r>
            <w:r>
              <w:rPr>
                <w:rFonts w:ascii="Times New Roman" w:eastAsia="宋体" w:hAnsi="Times New Roman" w:cs="Times New Roman"/>
                <w:color w:val="000000"/>
                <w:szCs w:val="21"/>
              </w:rPr>
              <w:t xml:space="preserve"> </w:t>
            </w:r>
          </w:p>
        </w:tc>
        <w:tc>
          <w:tcPr>
            <w:tcW w:w="1888" w:type="dxa"/>
            <w:vMerge w:val="restart"/>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color w:val="000000"/>
                <w:szCs w:val="21"/>
              </w:rPr>
              <w:t>GB/T 13837</w:t>
            </w:r>
            <w:r>
              <w:rPr>
                <w:rFonts w:ascii="Times New Roman" w:hAnsi="Times New Roman" w:cs="Times New Roman"/>
                <w:color w:val="000000"/>
                <w:szCs w:val="21"/>
              </w:rPr>
              <w:t>-2012</w:t>
            </w:r>
            <w:r>
              <w:rPr>
                <w:rFonts w:ascii="Times New Roman" w:eastAsia="宋体" w:hAnsi="Times New Roman" w:cs="Times New Roman"/>
                <w:color w:val="000000"/>
                <w:szCs w:val="21"/>
              </w:rPr>
              <w:t xml:space="preserve"> </w:t>
            </w:r>
          </w:p>
        </w:tc>
        <w:tc>
          <w:tcPr>
            <w:tcW w:w="1174" w:type="dxa"/>
            <w:vAlign w:val="center"/>
          </w:tcPr>
          <w:p w:rsidR="002C08F2" w:rsidRDefault="002C08F2">
            <w:pPr>
              <w:adjustRightInd w:val="0"/>
              <w:snapToGrid w:val="0"/>
              <w:spacing w:line="360" w:lineRule="auto"/>
              <w:jc w:val="center"/>
              <w:rPr>
                <w:rFonts w:ascii="Times New Roman" w:eastAsia="宋体" w:hAnsi="Times New Roman" w:cs="Times New Roman"/>
                <w:color w:val="000000"/>
                <w:szCs w:val="21"/>
              </w:rPr>
            </w:pPr>
          </w:p>
        </w:tc>
        <w:tc>
          <w:tcPr>
            <w:tcW w:w="1539" w:type="dxa"/>
            <w:vAlign w:val="center"/>
          </w:tcPr>
          <w:p w:rsidR="002C08F2" w:rsidRDefault="003B68B0">
            <w:pPr>
              <w:adjustRightInd w:val="0"/>
              <w:snapToGrid w:val="0"/>
              <w:spacing w:line="360" w:lineRule="auto"/>
              <w:jc w:val="center"/>
              <w:rPr>
                <w:rFonts w:ascii="Times New Roman" w:eastAsia="宋体" w:hAnsi="Times New Roman" w:cs="Times New Roman"/>
                <w:color w:val="000000"/>
                <w:szCs w:val="21"/>
              </w:rPr>
            </w:pPr>
            <w:r>
              <w:rPr>
                <w:rFonts w:ascii="宋体" w:hAnsi="宋体" w:hint="eastAsia"/>
                <w:szCs w:val="21"/>
              </w:rPr>
              <w:t>●</w:t>
            </w:r>
          </w:p>
        </w:tc>
      </w:tr>
      <w:tr w:rsidR="002C08F2">
        <w:trPr>
          <w:trHeight w:val="238"/>
          <w:jc w:val="center"/>
        </w:trPr>
        <w:tc>
          <w:tcPr>
            <w:tcW w:w="561" w:type="dxa"/>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color w:val="000000"/>
                <w:kern w:val="0"/>
                <w:szCs w:val="21"/>
              </w:rPr>
              <w:t>10</w:t>
            </w:r>
          </w:p>
        </w:tc>
        <w:tc>
          <w:tcPr>
            <w:tcW w:w="2823" w:type="dxa"/>
            <w:vAlign w:val="center"/>
          </w:tcPr>
          <w:p w:rsidR="002C08F2" w:rsidRDefault="003B68B0">
            <w:pPr>
              <w:adjustRightInd w:val="0"/>
              <w:snapToGrid w:val="0"/>
              <w:spacing w:line="360" w:lineRule="auto"/>
              <w:jc w:val="center"/>
              <w:rPr>
                <w:rFonts w:ascii="Times New Roman" w:hAnsi="Times New Roman" w:cs="Times New Roman"/>
                <w:color w:val="000000"/>
                <w:szCs w:val="21"/>
              </w:rPr>
            </w:pPr>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骚扰功率</w:t>
            </w:r>
          </w:p>
        </w:tc>
        <w:tc>
          <w:tcPr>
            <w:tcW w:w="1783"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888" w:type="dxa"/>
            <w:vMerge/>
            <w:vAlign w:val="center"/>
          </w:tcPr>
          <w:p w:rsidR="002C08F2" w:rsidRDefault="002C08F2">
            <w:pPr>
              <w:adjustRightInd w:val="0"/>
              <w:snapToGrid w:val="0"/>
              <w:spacing w:line="360" w:lineRule="auto"/>
              <w:jc w:val="center"/>
              <w:rPr>
                <w:rFonts w:ascii="Times New Roman" w:hAnsi="Times New Roman" w:cs="Times New Roman"/>
                <w:color w:val="000000"/>
                <w:szCs w:val="21"/>
              </w:rPr>
            </w:pPr>
          </w:p>
        </w:tc>
        <w:tc>
          <w:tcPr>
            <w:tcW w:w="1174" w:type="dxa"/>
            <w:vAlign w:val="center"/>
          </w:tcPr>
          <w:p w:rsidR="002C08F2" w:rsidRDefault="002C08F2">
            <w:pPr>
              <w:adjustRightInd w:val="0"/>
              <w:snapToGrid w:val="0"/>
              <w:spacing w:line="360" w:lineRule="auto"/>
              <w:jc w:val="center"/>
              <w:rPr>
                <w:rFonts w:ascii="Times New Roman" w:eastAsia="宋体" w:hAnsi="Times New Roman" w:cs="Times New Roman"/>
                <w:color w:val="000000"/>
                <w:szCs w:val="21"/>
              </w:rPr>
            </w:pPr>
          </w:p>
        </w:tc>
        <w:tc>
          <w:tcPr>
            <w:tcW w:w="1539" w:type="dxa"/>
            <w:vAlign w:val="center"/>
          </w:tcPr>
          <w:p w:rsidR="002C08F2" w:rsidRDefault="003B68B0">
            <w:pPr>
              <w:adjustRightInd w:val="0"/>
              <w:snapToGrid w:val="0"/>
              <w:spacing w:line="360" w:lineRule="auto"/>
              <w:jc w:val="center"/>
              <w:rPr>
                <w:rFonts w:ascii="Times New Roman" w:eastAsia="宋体" w:hAnsi="Times New Roman" w:cs="Times New Roman"/>
                <w:color w:val="000000"/>
                <w:szCs w:val="21"/>
              </w:rPr>
            </w:pPr>
            <w:r>
              <w:rPr>
                <w:rFonts w:ascii="宋体" w:hAnsi="宋体" w:hint="eastAsia"/>
                <w:szCs w:val="21"/>
              </w:rPr>
              <w:t>●</w:t>
            </w:r>
          </w:p>
        </w:tc>
      </w:tr>
      <w:tr w:rsidR="002C08F2">
        <w:trPr>
          <w:trHeight w:val="238"/>
          <w:jc w:val="center"/>
        </w:trPr>
        <w:tc>
          <w:tcPr>
            <w:tcW w:w="561" w:type="dxa"/>
            <w:vAlign w:val="center"/>
          </w:tcPr>
          <w:p w:rsidR="002C08F2" w:rsidRDefault="003B68B0">
            <w:pPr>
              <w:adjustRightInd w:val="0"/>
              <w:snapToGrid w:val="0"/>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11</w:t>
            </w:r>
          </w:p>
        </w:tc>
        <w:tc>
          <w:tcPr>
            <w:tcW w:w="2823" w:type="dxa"/>
            <w:vAlign w:val="center"/>
          </w:tcPr>
          <w:p w:rsidR="002C08F2" w:rsidRDefault="003B68B0">
            <w:pPr>
              <w:adjustRightInd w:val="0"/>
              <w:snapToGrid w:val="0"/>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谐波电流</w:t>
            </w:r>
          </w:p>
        </w:tc>
        <w:tc>
          <w:tcPr>
            <w:tcW w:w="1783" w:type="dxa"/>
            <w:vAlign w:val="center"/>
          </w:tcPr>
          <w:p w:rsidR="002C08F2" w:rsidRDefault="003B68B0">
            <w:pPr>
              <w:adjustRightInd w:val="0"/>
              <w:snapToGrid w:val="0"/>
              <w:spacing w:line="360" w:lineRule="auto"/>
              <w:jc w:val="center"/>
              <w:rPr>
                <w:rFonts w:ascii="Times New Roman" w:eastAsia="宋体" w:hAnsi="Times New Roman" w:cs="Times New Roman"/>
                <w:color w:val="000000"/>
                <w:szCs w:val="21"/>
              </w:rPr>
            </w:pPr>
            <w:r>
              <w:rPr>
                <w:rFonts w:ascii="Times New Roman" w:eastAsia="宋体" w:hAnsi="Times New Roman" w:cs="Times New Roman"/>
                <w:kern w:val="0"/>
                <w:szCs w:val="21"/>
              </w:rPr>
              <w:t>GB 17625.1</w:t>
            </w:r>
            <w:r>
              <w:rPr>
                <w:rFonts w:ascii="Times New Roman" w:eastAsia="宋体" w:hAnsi="Times New Roman" w:cs="Times New Roman"/>
                <w:kern w:val="0"/>
                <w:szCs w:val="21"/>
              </w:rPr>
              <w:t>-2012</w:t>
            </w:r>
          </w:p>
        </w:tc>
        <w:tc>
          <w:tcPr>
            <w:tcW w:w="1888" w:type="dxa"/>
            <w:vAlign w:val="center"/>
          </w:tcPr>
          <w:p w:rsidR="002C08F2" w:rsidRDefault="003B68B0">
            <w:pPr>
              <w:adjustRightInd w:val="0"/>
              <w:snapToGrid w:val="0"/>
              <w:spacing w:line="360" w:lineRule="auto"/>
              <w:jc w:val="center"/>
              <w:rPr>
                <w:rFonts w:ascii="Times New Roman" w:eastAsia="宋体" w:hAnsi="Times New Roman" w:cs="Times New Roman"/>
                <w:color w:val="000000"/>
                <w:szCs w:val="21"/>
              </w:rPr>
            </w:pPr>
            <w:r>
              <w:rPr>
                <w:rFonts w:ascii="Times New Roman" w:eastAsia="宋体" w:hAnsi="Times New Roman" w:cs="Times New Roman"/>
                <w:kern w:val="0"/>
                <w:szCs w:val="21"/>
              </w:rPr>
              <w:t>GB 17625.1</w:t>
            </w:r>
            <w:r>
              <w:rPr>
                <w:rFonts w:ascii="Times New Roman" w:eastAsia="宋体" w:hAnsi="Times New Roman" w:cs="Times New Roman"/>
                <w:kern w:val="0"/>
                <w:szCs w:val="21"/>
              </w:rPr>
              <w:t>-2012</w:t>
            </w:r>
          </w:p>
        </w:tc>
        <w:tc>
          <w:tcPr>
            <w:tcW w:w="1174" w:type="dxa"/>
            <w:vAlign w:val="center"/>
          </w:tcPr>
          <w:p w:rsidR="002C08F2" w:rsidRDefault="002C08F2">
            <w:pPr>
              <w:adjustRightInd w:val="0"/>
              <w:snapToGrid w:val="0"/>
              <w:spacing w:line="360" w:lineRule="auto"/>
              <w:jc w:val="center"/>
              <w:rPr>
                <w:rFonts w:ascii="Times New Roman" w:eastAsia="宋体" w:hAnsi="Times New Roman" w:cs="Times New Roman"/>
                <w:kern w:val="0"/>
                <w:szCs w:val="21"/>
              </w:rPr>
            </w:pPr>
          </w:p>
        </w:tc>
        <w:tc>
          <w:tcPr>
            <w:tcW w:w="1539" w:type="dxa"/>
            <w:vAlign w:val="center"/>
          </w:tcPr>
          <w:p w:rsidR="002C08F2" w:rsidRDefault="003B68B0">
            <w:pPr>
              <w:adjustRightInd w:val="0"/>
              <w:snapToGrid w:val="0"/>
              <w:spacing w:line="360" w:lineRule="auto"/>
              <w:jc w:val="center"/>
              <w:rPr>
                <w:rFonts w:ascii="Times New Roman" w:eastAsia="宋体" w:hAnsi="Times New Roman" w:cs="Times New Roman"/>
                <w:kern w:val="0"/>
                <w:szCs w:val="21"/>
              </w:rPr>
            </w:pPr>
            <w:r>
              <w:rPr>
                <w:rFonts w:ascii="宋体" w:hAnsi="宋体" w:hint="eastAsia"/>
                <w:szCs w:val="21"/>
              </w:rPr>
              <w:t>●</w:t>
            </w:r>
          </w:p>
        </w:tc>
      </w:tr>
      <w:tr w:rsidR="002C08F2">
        <w:trPr>
          <w:trHeight w:val="238"/>
          <w:jc w:val="center"/>
        </w:trPr>
        <w:tc>
          <w:tcPr>
            <w:tcW w:w="9768" w:type="dxa"/>
            <w:gridSpan w:val="6"/>
            <w:vAlign w:val="center"/>
          </w:tcPr>
          <w:p w:rsidR="002C08F2" w:rsidRDefault="003B68B0">
            <w:pPr>
              <w:snapToGrid w:val="0"/>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极重要质量项目</w:t>
            </w:r>
            <w:r>
              <w:rPr>
                <w:rFonts w:ascii="Times New Roman" w:hAnsi="Times New Roman" w:cs="Times New Roman"/>
                <w:color w:val="000000"/>
                <w:sz w:val="18"/>
                <w:szCs w:val="18"/>
              </w:rPr>
              <w:t>。</w:t>
            </w:r>
          </w:p>
          <w:p w:rsidR="002C08F2" w:rsidRDefault="003B68B0">
            <w:pPr>
              <w:adjustRightInd w:val="0"/>
              <w:snapToGrid w:val="0"/>
              <w:spacing w:line="360" w:lineRule="auto"/>
              <w:jc w:val="left"/>
              <w:rPr>
                <w:rFonts w:ascii="宋体" w:hAnsi="宋体"/>
                <w:szCs w:val="21"/>
              </w:rPr>
            </w:pPr>
            <w:r>
              <w:rPr>
                <w:rFonts w:ascii="Times New Roman" w:hAnsi="Times New Roman" w:cs="Times New Roman"/>
                <w:color w:val="000000"/>
                <w:sz w:val="18"/>
                <w:szCs w:val="18"/>
              </w:rPr>
              <w:t>b</w:t>
            </w:r>
            <w:r>
              <w:rPr>
                <w:rFonts w:ascii="Times New Roman" w:hAnsi="Times New Roman" w:cs="Times New Roman"/>
                <w:color w:val="000000"/>
                <w:sz w:val="18"/>
                <w:szCs w:val="18"/>
              </w:rPr>
              <w:t>重要质量项目</w:t>
            </w:r>
            <w:r>
              <w:rPr>
                <w:rFonts w:ascii="Times New Roman" w:hAnsi="Times New Roman" w:cs="Times New Roman"/>
                <w:color w:val="000000"/>
                <w:sz w:val="18"/>
                <w:szCs w:val="18"/>
              </w:rPr>
              <w:t>。</w:t>
            </w:r>
          </w:p>
        </w:tc>
      </w:tr>
    </w:tbl>
    <w:p w:rsidR="002C08F2" w:rsidRDefault="003B68B0">
      <w:pPr>
        <w:adjustRightInd w:val="0"/>
        <w:snapToGrid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凡是注日期的文件，其随后所有的修改单（不包括勘误的内容）或修订版不适用于本细则。凡是不注日期的文件，其最新版本适用于本细则。</w:t>
      </w:r>
    </w:p>
    <w:p w:rsidR="002C08F2" w:rsidRDefault="002C08F2">
      <w:pPr>
        <w:adjustRightInd w:val="0"/>
        <w:snapToGrid w:val="0"/>
        <w:spacing w:line="360" w:lineRule="auto"/>
        <w:ind w:firstLineChars="200" w:firstLine="420"/>
        <w:rPr>
          <w:rFonts w:ascii="Times New Roman" w:hAnsi="Times New Roman" w:cs="Times New Roman"/>
          <w:color w:val="000000"/>
          <w:szCs w:val="21"/>
        </w:rPr>
      </w:pPr>
    </w:p>
    <w:p w:rsidR="002C08F2" w:rsidRDefault="003B68B0">
      <w:pPr>
        <w:adjustRightInd w:val="0"/>
        <w:snapToGrid w:val="0"/>
        <w:spacing w:line="360" w:lineRule="auto"/>
        <w:rPr>
          <w:rFonts w:ascii="Times New Roman" w:eastAsia="黑体" w:hAnsi="Times New Roman" w:cs="Times New Roman"/>
          <w:color w:val="000000"/>
          <w:szCs w:val="21"/>
        </w:rPr>
      </w:pPr>
      <w:r>
        <w:rPr>
          <w:rFonts w:ascii="Times New Roman" w:eastAsia="黑体" w:hAnsi="Times New Roman" w:cs="Times New Roman"/>
          <w:color w:val="000000"/>
          <w:szCs w:val="21"/>
        </w:rPr>
        <w:t xml:space="preserve">3 </w:t>
      </w:r>
      <w:r>
        <w:rPr>
          <w:rFonts w:ascii="Times New Roman" w:eastAsia="黑体" w:hAnsi="Times New Roman" w:cs="Times New Roman"/>
          <w:color w:val="000000"/>
          <w:szCs w:val="21"/>
        </w:rPr>
        <w:t>判定规则</w:t>
      </w:r>
    </w:p>
    <w:p w:rsidR="002C08F2" w:rsidRDefault="003B68B0">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3.1</w:t>
      </w:r>
      <w:r>
        <w:rPr>
          <w:rFonts w:ascii="Times New Roman" w:hAnsi="Times New Roman" w:cs="Times New Roman"/>
          <w:color w:val="000000"/>
          <w:szCs w:val="21"/>
        </w:rPr>
        <w:t>依据标准</w:t>
      </w:r>
    </w:p>
    <w:p w:rsidR="002C08F2" w:rsidRDefault="003B68B0">
      <w:pPr>
        <w:adjustRightInd w:val="0"/>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GB 8898</w:t>
      </w:r>
      <w:r>
        <w:rPr>
          <w:rFonts w:ascii="Times New Roman" w:hAnsi="Times New Roman" w:cs="Times New Roman"/>
          <w:kern w:val="0"/>
          <w:szCs w:val="21"/>
        </w:rPr>
        <w:t>-2011</w:t>
      </w:r>
      <w:r>
        <w:rPr>
          <w:rFonts w:ascii="Times New Roman" w:hAnsi="Times New Roman" w:cs="Times New Roman"/>
          <w:kern w:val="0"/>
          <w:szCs w:val="21"/>
        </w:rPr>
        <w:t>《</w:t>
      </w:r>
      <w:r>
        <w:rPr>
          <w:rFonts w:ascii="Times New Roman" w:eastAsia="宋体" w:hAnsi="Times New Roman" w:cs="Times New Roman"/>
          <w:kern w:val="0"/>
          <w:szCs w:val="21"/>
        </w:rPr>
        <w:t>音频、视频及类似电子设备</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安全要求</w:t>
      </w:r>
      <w:r>
        <w:rPr>
          <w:rFonts w:ascii="Times New Roman" w:hAnsi="Times New Roman" w:cs="Times New Roman"/>
          <w:kern w:val="0"/>
          <w:szCs w:val="21"/>
        </w:rPr>
        <w:t>》</w:t>
      </w:r>
    </w:p>
    <w:p w:rsidR="002C08F2" w:rsidRDefault="003B68B0">
      <w:pPr>
        <w:adjustRightInd w:val="0"/>
        <w:snapToGrid w:val="0"/>
        <w:spacing w:line="360" w:lineRule="auto"/>
        <w:ind w:firstLine="420"/>
        <w:rPr>
          <w:rFonts w:ascii="Times New Roman" w:hAnsi="Times New Roman" w:cs="Times New Roman"/>
          <w:kern w:val="0"/>
          <w:szCs w:val="21"/>
        </w:rPr>
      </w:pPr>
      <w:r>
        <w:rPr>
          <w:rFonts w:ascii="Times New Roman" w:eastAsia="宋体" w:hAnsi="Times New Roman" w:cs="Times New Roman"/>
          <w:kern w:val="0"/>
          <w:szCs w:val="21"/>
        </w:rPr>
        <w:t>GB/T 13837</w:t>
      </w:r>
      <w:r>
        <w:rPr>
          <w:rFonts w:ascii="Times New Roman" w:hAnsi="Times New Roman" w:cs="Times New Roman"/>
          <w:kern w:val="0"/>
          <w:szCs w:val="21"/>
        </w:rPr>
        <w:t>-2012</w:t>
      </w:r>
      <w:r>
        <w:rPr>
          <w:rFonts w:ascii="Times New Roman" w:hAnsi="Times New Roman" w:cs="Times New Roman"/>
          <w:kern w:val="0"/>
          <w:szCs w:val="21"/>
        </w:rPr>
        <w:t>《</w:t>
      </w:r>
      <w:r>
        <w:rPr>
          <w:rFonts w:ascii="Times New Roman" w:eastAsia="宋体" w:hAnsi="Times New Roman" w:cs="Times New Roman"/>
          <w:kern w:val="0"/>
          <w:szCs w:val="21"/>
        </w:rPr>
        <w:t>声音和电视广播接收机及有关设备无线电骚扰特性</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限值和测量方法</w:t>
      </w:r>
      <w:r>
        <w:rPr>
          <w:rFonts w:ascii="Times New Roman" w:hAnsi="Times New Roman" w:cs="Times New Roman"/>
          <w:kern w:val="0"/>
          <w:szCs w:val="21"/>
        </w:rPr>
        <w:t>》</w:t>
      </w:r>
    </w:p>
    <w:p w:rsidR="002C08F2" w:rsidRDefault="003B68B0">
      <w:pPr>
        <w:autoSpaceDE w:val="0"/>
        <w:autoSpaceDN w:val="0"/>
        <w:adjustRightInd w:val="0"/>
        <w:snapToGrid w:val="0"/>
        <w:spacing w:line="360" w:lineRule="auto"/>
        <w:ind w:right="26" w:firstLineChars="200" w:firstLine="420"/>
        <w:rPr>
          <w:rFonts w:ascii="Times New Roman" w:hAnsi="Times New Roman" w:cs="Times New Roman"/>
          <w:kern w:val="0"/>
          <w:szCs w:val="21"/>
        </w:rPr>
      </w:pPr>
      <w:r>
        <w:rPr>
          <w:rFonts w:ascii="Times New Roman" w:hAnsi="Times New Roman" w:cs="Times New Roman"/>
          <w:kern w:val="0"/>
          <w:szCs w:val="21"/>
        </w:rPr>
        <w:t>GB 17625.1-2012</w:t>
      </w:r>
      <w:r>
        <w:rPr>
          <w:rFonts w:ascii="Times New Roman" w:hAnsi="Times New Roman" w:cs="Times New Roman"/>
          <w:kern w:val="0"/>
          <w:szCs w:val="21"/>
        </w:rPr>
        <w:t>《电磁兼容</w:t>
      </w:r>
      <w:r>
        <w:rPr>
          <w:rFonts w:ascii="Times New Roman" w:hAnsi="Times New Roman" w:cs="Times New Roman"/>
          <w:kern w:val="0"/>
          <w:szCs w:val="21"/>
        </w:rPr>
        <w:t xml:space="preserve"> </w:t>
      </w:r>
      <w:r>
        <w:rPr>
          <w:rFonts w:ascii="Times New Roman" w:hAnsi="Times New Roman" w:cs="Times New Roman"/>
          <w:kern w:val="0"/>
          <w:szCs w:val="21"/>
        </w:rPr>
        <w:t>限值</w:t>
      </w:r>
      <w:r>
        <w:rPr>
          <w:rFonts w:ascii="Times New Roman" w:hAnsi="Times New Roman" w:cs="Times New Roman"/>
          <w:kern w:val="0"/>
          <w:szCs w:val="21"/>
        </w:rPr>
        <w:t xml:space="preserve"> </w:t>
      </w:r>
      <w:r>
        <w:rPr>
          <w:rFonts w:ascii="Times New Roman" w:hAnsi="Times New Roman" w:cs="Times New Roman"/>
          <w:kern w:val="0"/>
          <w:szCs w:val="21"/>
        </w:rPr>
        <w:t>谐波电流发射限值（设备每相输入电流</w:t>
      </w:r>
      <w:r>
        <w:rPr>
          <w:rFonts w:ascii="Times New Roman" w:hAnsi="Times New Roman" w:cs="Times New Roman"/>
          <w:kern w:val="0"/>
          <w:szCs w:val="21"/>
        </w:rPr>
        <w:t>≤16A</w:t>
      </w:r>
      <w:r>
        <w:rPr>
          <w:rFonts w:ascii="Times New Roman" w:hAnsi="Times New Roman" w:cs="Times New Roman"/>
          <w:kern w:val="0"/>
          <w:szCs w:val="21"/>
        </w:rPr>
        <w:t>）》</w:t>
      </w:r>
    </w:p>
    <w:p w:rsidR="002C08F2" w:rsidRDefault="003B68B0">
      <w:pPr>
        <w:adjustRightInd w:val="0"/>
        <w:snapToGrid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lastRenderedPageBreak/>
        <w:t>相关的法律、行政法规、部门规章、规范性文件</w:t>
      </w:r>
    </w:p>
    <w:p w:rsidR="002C08F2" w:rsidRDefault="003B68B0">
      <w:pPr>
        <w:adjustRightInd w:val="0"/>
        <w:snapToGrid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现行有效的企业标准、团体标准、地方标准及产品明示质量要求</w:t>
      </w:r>
    </w:p>
    <w:p w:rsidR="002C08F2" w:rsidRDefault="003B68B0">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3.2</w:t>
      </w:r>
      <w:r>
        <w:rPr>
          <w:rFonts w:ascii="Times New Roman" w:hAnsi="Times New Roman" w:cs="Times New Roman"/>
          <w:color w:val="000000"/>
          <w:szCs w:val="21"/>
        </w:rPr>
        <w:t>判定原则</w:t>
      </w:r>
    </w:p>
    <w:p w:rsidR="002C08F2" w:rsidRDefault="003B68B0" w:rsidP="00E943A8">
      <w:pPr>
        <w:adjustRightInd w:val="0"/>
        <w:snapToGrid w:val="0"/>
        <w:spacing w:line="360" w:lineRule="auto"/>
        <w:ind w:firstLineChars="199" w:firstLine="418"/>
        <w:rPr>
          <w:rFonts w:ascii="Times New Roman" w:hAnsi="Times New Roman" w:cs="Times New Roman"/>
          <w:color w:val="000000"/>
          <w:szCs w:val="21"/>
        </w:rPr>
      </w:pPr>
      <w:r>
        <w:rPr>
          <w:rFonts w:ascii="Times New Roman" w:hAnsi="Times New Roman" w:cs="Times New Roman"/>
          <w:color w:val="000000"/>
          <w:szCs w:val="21"/>
        </w:rPr>
        <w:t>经检验，</w:t>
      </w:r>
      <w:r>
        <w:rPr>
          <w:rFonts w:ascii="Times New Roman" w:hAnsi="Times New Roman" w:cs="Times New Roman"/>
          <w:color w:val="000000"/>
          <w:szCs w:val="21"/>
        </w:rPr>
        <w:t>所</w:t>
      </w:r>
      <w:r>
        <w:rPr>
          <w:rFonts w:ascii="Times New Roman" w:hAnsi="Times New Roman" w:cs="Times New Roman"/>
          <w:color w:val="000000"/>
          <w:szCs w:val="21"/>
        </w:rPr>
        <w:t>检验项目全部</w:t>
      </w:r>
      <w:r>
        <w:rPr>
          <w:rFonts w:ascii="Times New Roman" w:hAnsi="Times New Roman" w:cs="Times New Roman"/>
          <w:color w:val="000000"/>
          <w:szCs w:val="21"/>
        </w:rPr>
        <w:t>符合标准要求</w:t>
      </w:r>
      <w:r>
        <w:rPr>
          <w:rFonts w:ascii="Times New Roman" w:hAnsi="Times New Roman" w:cs="Times New Roman"/>
          <w:color w:val="000000"/>
          <w:szCs w:val="21"/>
        </w:rPr>
        <w:t>，判定为被抽查产品</w:t>
      </w:r>
      <w:r>
        <w:rPr>
          <w:rFonts w:ascii="Times New Roman" w:hAnsi="Times New Roman" w:cs="Times New Roman"/>
          <w:color w:val="000000"/>
          <w:szCs w:val="21"/>
        </w:rPr>
        <w:t>未发现不</w:t>
      </w:r>
      <w:r>
        <w:rPr>
          <w:rFonts w:ascii="Times New Roman" w:hAnsi="Times New Roman" w:cs="Times New Roman"/>
          <w:color w:val="000000"/>
          <w:szCs w:val="21"/>
        </w:rPr>
        <w:t>合格；检验项目中任一项或一项以上不合格，判定为被抽查产品不合格。当产品存在</w:t>
      </w:r>
      <w:r>
        <w:rPr>
          <w:rFonts w:ascii="Times New Roman" w:hAnsi="Times New Roman" w:cs="Times New Roman"/>
          <w:color w:val="000000"/>
          <w:szCs w:val="21"/>
        </w:rPr>
        <w:t>A</w:t>
      </w:r>
      <w:r>
        <w:rPr>
          <w:rFonts w:ascii="Times New Roman" w:hAnsi="Times New Roman" w:cs="Times New Roman"/>
          <w:color w:val="000000"/>
          <w:szCs w:val="21"/>
        </w:rPr>
        <w:t>类项目不合格时，属于严重不合格。</w:t>
      </w:r>
    </w:p>
    <w:p w:rsidR="002C08F2" w:rsidRDefault="003B68B0" w:rsidP="00E943A8">
      <w:pPr>
        <w:adjustRightInd w:val="0"/>
        <w:snapToGrid w:val="0"/>
        <w:spacing w:line="360" w:lineRule="auto"/>
        <w:ind w:firstLineChars="199" w:firstLine="418"/>
        <w:rPr>
          <w:rFonts w:ascii="Times New Roman" w:hAnsi="Times New Roman" w:cs="Times New Roman"/>
          <w:color w:val="000000"/>
          <w:szCs w:val="21"/>
        </w:rPr>
      </w:pPr>
      <w:r>
        <w:rPr>
          <w:rFonts w:ascii="Times New Roman" w:hAnsi="Times New Roman" w:cs="Times New Roman"/>
          <w:color w:val="000000"/>
          <w:szCs w:val="21"/>
        </w:rPr>
        <w:t>若被检产品明示的质量要求高于本细则中检验项目依据的标准要求时，应按被检产品明示的质量要求判定。</w:t>
      </w:r>
    </w:p>
    <w:p w:rsidR="002C08F2" w:rsidRDefault="003B68B0" w:rsidP="00E943A8">
      <w:pPr>
        <w:adjustRightInd w:val="0"/>
        <w:snapToGrid w:val="0"/>
        <w:spacing w:line="360" w:lineRule="auto"/>
        <w:ind w:firstLineChars="199" w:firstLine="418"/>
        <w:rPr>
          <w:rFonts w:ascii="Times New Roman" w:hAnsi="Times New Roman" w:cs="Times New Roman"/>
          <w:color w:val="000000"/>
          <w:szCs w:val="21"/>
        </w:rPr>
      </w:pPr>
      <w:r>
        <w:rPr>
          <w:rFonts w:ascii="Times New Roman" w:hAnsi="Times New Roman" w:cs="Times New Roman"/>
          <w:color w:val="000000"/>
          <w:szCs w:val="21"/>
        </w:rPr>
        <w:t>若被检产品明示的质量要求低于本细则中检验项目依据的强制性标准要求时，应按照强制性标准要求判定。</w:t>
      </w:r>
    </w:p>
    <w:p w:rsidR="002C08F2" w:rsidRDefault="003B68B0" w:rsidP="00E943A8">
      <w:pPr>
        <w:adjustRightInd w:val="0"/>
        <w:snapToGrid w:val="0"/>
        <w:spacing w:line="360" w:lineRule="auto"/>
        <w:ind w:firstLineChars="199" w:firstLine="418"/>
        <w:rPr>
          <w:rFonts w:ascii="Times New Roman" w:hAnsi="Times New Roman" w:cs="Times New Roman"/>
          <w:color w:val="000000"/>
          <w:szCs w:val="21"/>
        </w:rPr>
      </w:pPr>
      <w:r>
        <w:rPr>
          <w:rFonts w:ascii="Times New Roman" w:hAnsi="Times New Roman" w:cs="Times New Roman"/>
          <w:color w:val="000000"/>
          <w:szCs w:val="21"/>
        </w:rPr>
        <w:t>若被检产品明示的质量要求低于或包含</w:t>
      </w:r>
      <w:r>
        <w:rPr>
          <w:rFonts w:ascii="Times New Roman" w:hAnsi="Times New Roman" w:cs="Times New Roman"/>
          <w:color w:val="000000"/>
          <w:szCs w:val="21"/>
        </w:rPr>
        <w:t>本</w:t>
      </w:r>
      <w:r>
        <w:rPr>
          <w:rFonts w:ascii="Times New Roman" w:hAnsi="Times New Roman" w:cs="Times New Roman"/>
          <w:color w:val="000000"/>
          <w:szCs w:val="21"/>
        </w:rPr>
        <w:t>细则中检验项目依据的推荐性标准要求时，应以被检产品明示的质量要求判定，但应在检验报告备注中进行说明。</w:t>
      </w:r>
    </w:p>
    <w:p w:rsidR="002C08F2" w:rsidRDefault="003B68B0" w:rsidP="00E943A8">
      <w:pPr>
        <w:adjustRightInd w:val="0"/>
        <w:snapToGrid w:val="0"/>
        <w:spacing w:line="360" w:lineRule="auto"/>
        <w:ind w:firstLineChars="199" w:firstLine="418"/>
        <w:rPr>
          <w:rFonts w:ascii="Times New Roman" w:hAnsi="Times New Roman" w:cs="Times New Roman"/>
          <w:color w:val="000000"/>
          <w:szCs w:val="21"/>
        </w:rPr>
      </w:pPr>
      <w:r>
        <w:rPr>
          <w:rFonts w:ascii="Times New Roman" w:hAnsi="Times New Roman" w:cs="Times New Roman"/>
          <w:color w:val="000000"/>
          <w:szCs w:val="21"/>
        </w:rPr>
        <w:t>若被检产品明示的质量要求缺少本细则中检验项目依据的强制性标准要求时，应按照强制性标准要求判定。</w:t>
      </w:r>
    </w:p>
    <w:p w:rsidR="002C08F2" w:rsidRDefault="003B68B0">
      <w:pPr>
        <w:adjustRightInd w:val="0"/>
        <w:snapToGrid w:val="0"/>
        <w:spacing w:line="360" w:lineRule="auto"/>
        <w:ind w:firstLineChars="200" w:firstLine="420"/>
        <w:rPr>
          <w:rFonts w:ascii="Times New Roman" w:hAnsi="Times New Roman" w:cs="Times New Roman"/>
          <w:szCs w:val="21"/>
        </w:rPr>
      </w:pPr>
      <w:r>
        <w:rPr>
          <w:rFonts w:ascii="Times New Roman" w:hAnsi="Times New Roman" w:cs="Times New Roman"/>
          <w:color w:val="000000"/>
          <w:szCs w:val="21"/>
        </w:rPr>
        <w:t>若被检产品明示的质量要求缺少本细则中检验项目依据的推荐性标准要求时，该项目不参与判定，但应在检验报告备注中进行说明。</w:t>
      </w:r>
    </w:p>
    <w:p w:rsidR="002C08F2" w:rsidRDefault="002C08F2">
      <w:pPr>
        <w:adjustRightInd w:val="0"/>
        <w:snapToGrid w:val="0"/>
        <w:spacing w:line="360" w:lineRule="auto"/>
        <w:ind w:firstLine="420"/>
        <w:rPr>
          <w:rFonts w:ascii="Times New Roman" w:eastAsia="宋体" w:hAnsi="Times New Roman" w:cs="Times New Roman"/>
          <w:color w:val="000000"/>
          <w:kern w:val="0"/>
          <w:szCs w:val="21"/>
        </w:rPr>
      </w:pPr>
    </w:p>
    <w:p w:rsidR="002C08F2" w:rsidRDefault="002C08F2">
      <w:pPr>
        <w:adjustRightInd w:val="0"/>
        <w:snapToGrid w:val="0"/>
        <w:spacing w:line="360" w:lineRule="auto"/>
        <w:rPr>
          <w:rFonts w:ascii="Times New Roman" w:hAnsi="Times New Roman" w:cs="Times New Roman"/>
        </w:rPr>
      </w:pPr>
    </w:p>
    <w:sectPr w:rsidR="002C08F2" w:rsidSect="002C08F2">
      <w:pgSz w:w="11906" w:h="16838"/>
      <w:pgMar w:top="850" w:right="1134" w:bottom="85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8B0" w:rsidRDefault="003B68B0" w:rsidP="00E943A8">
      <w:r>
        <w:separator/>
      </w:r>
    </w:p>
  </w:endnote>
  <w:endnote w:type="continuationSeparator" w:id="1">
    <w:p w:rsidR="003B68B0" w:rsidRDefault="003B68B0" w:rsidP="00E94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8B0" w:rsidRDefault="003B68B0" w:rsidP="00E943A8">
      <w:r>
        <w:separator/>
      </w:r>
    </w:p>
  </w:footnote>
  <w:footnote w:type="continuationSeparator" w:id="1">
    <w:p w:rsidR="003B68B0" w:rsidRDefault="003B68B0" w:rsidP="00E943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7F77BDA"/>
    <w:rsid w:val="002C08F2"/>
    <w:rsid w:val="003B68B0"/>
    <w:rsid w:val="00E943A8"/>
    <w:rsid w:val="07F77BDA"/>
    <w:rsid w:val="16DC51AD"/>
    <w:rsid w:val="1BBB0E85"/>
    <w:rsid w:val="1D25580B"/>
    <w:rsid w:val="24B500A7"/>
    <w:rsid w:val="24CD4017"/>
    <w:rsid w:val="3C242B9D"/>
    <w:rsid w:val="4EC21FF0"/>
    <w:rsid w:val="60B84FB5"/>
    <w:rsid w:val="612B1270"/>
    <w:rsid w:val="65E25593"/>
    <w:rsid w:val="679E6702"/>
    <w:rsid w:val="7B2B4D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08F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C08F2"/>
    <w:pPr>
      <w:tabs>
        <w:tab w:val="center" w:pos="4153"/>
        <w:tab w:val="right" w:pos="8306"/>
      </w:tabs>
      <w:snapToGrid w:val="0"/>
      <w:jc w:val="left"/>
    </w:pPr>
    <w:rPr>
      <w:sz w:val="18"/>
      <w:szCs w:val="18"/>
    </w:rPr>
  </w:style>
  <w:style w:type="character" w:styleId="a4">
    <w:name w:val="page number"/>
    <w:basedOn w:val="a0"/>
    <w:qFormat/>
    <w:rsid w:val="002C08F2"/>
  </w:style>
  <w:style w:type="paragraph" w:styleId="a5">
    <w:name w:val="header"/>
    <w:basedOn w:val="a"/>
    <w:link w:val="Char"/>
    <w:rsid w:val="00E94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943A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dc:creator>
  <cp:lastModifiedBy>丘月华</cp:lastModifiedBy>
  <cp:revision>2</cp:revision>
  <dcterms:created xsi:type="dcterms:W3CDTF">2020-03-23T06:41:00Z</dcterms:created>
  <dcterms:modified xsi:type="dcterms:W3CDTF">2020-07-24T00:50:00Z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